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Fit</w:t>
      </w:r>
      <w:r>
        <w:t xml:space="preserve"> </w:t>
      </w:r>
      <w:r>
        <w:t xml:space="preserve">by</w:t>
      </w:r>
      <w:r>
        <w:t xml:space="preserve"> </w:t>
      </w:r>
      <w:r>
        <w:t xml:space="preserve">design:</w:t>
      </w:r>
      <w:r>
        <w:t xml:space="preserve"> </w:t>
      </w:r>
      <w:r>
        <w:t xml:space="preserve">Developing</w:t>
      </w:r>
      <w:r>
        <w:t xml:space="preserve"> </w:t>
      </w:r>
      <w:r>
        <w:t xml:space="preserve">substrate-specific</w:t>
      </w:r>
      <w:r>
        <w:t xml:space="preserve"> </w:t>
      </w:r>
      <w:r>
        <w:t xml:space="preserve">seed</w:t>
      </w:r>
      <w:r>
        <w:t xml:space="preserve"> </w:t>
      </w:r>
      <w:r>
        <w:t xml:space="preserve">mixtures</w:t>
      </w:r>
      <w:r>
        <w:t xml:space="preserve"> </w:t>
      </w:r>
      <w:r>
        <w:t xml:space="preserve">for</w:t>
      </w:r>
      <w:r>
        <w:t xml:space="preserve"> </w:t>
      </w:r>
      <w:r>
        <w:t xml:space="preserve">functional</w:t>
      </w:r>
      <w:r>
        <w:t xml:space="preserve"> </w:t>
      </w:r>
      <w:r>
        <w:t xml:space="preserve">dike</w:t>
      </w:r>
      <w:r>
        <w:t xml:space="preserve"> </w:t>
      </w:r>
      <w:r>
        <w:t xml:space="preserve">grasslands</w:t>
      </w:r>
    </w:p>
    <w:p>
      <w:pPr>
        <w:pStyle w:val="Author"/>
      </w:pPr>
      <w:r>
        <w:t xml:space="preserve">Markus</w:t>
      </w:r>
      <w:r>
        <w:t xml:space="preserve"> </w:t>
      </w:r>
      <w:r>
        <w:t xml:space="preserve">Bauer*,</w:t>
      </w:r>
      <w:r>
        <w:t xml:space="preserve"> </w:t>
      </w:r>
      <w:r>
        <w:t xml:space="preserve">Jakob</w:t>
      </w:r>
      <w:r>
        <w:t xml:space="preserve"> </w:t>
      </w:r>
      <w:r>
        <w:t xml:space="preserve">Huber,</w:t>
      </w:r>
      <w:r>
        <w:t xml:space="preserve"> </w:t>
      </w:r>
      <w:r>
        <w:t xml:space="preserve">Johannes</w:t>
      </w:r>
      <w:r>
        <w:t xml:space="preserve"> </w:t>
      </w:r>
      <w:r>
        <w:t xml:space="preserve">Kollmann</w:t>
      </w:r>
    </w:p>
    <w:p>
      <w:pPr>
        <w:pStyle w:val="FirstParagraph"/>
      </w:pPr>
      <w:r>
        <w:t xml:space="preserve">Restoration Ecology, TUM School of Life Sciences, Technical University of Munich, Germany</w:t>
      </w:r>
    </w:p>
    <w:p>
      <w:pPr>
        <w:pStyle w:val="Textkrper"/>
      </w:pPr>
      <w:r>
        <w:t xml:space="preserve">* Corresponding author:</w:t>
      </w:r>
      <w:r>
        <w:t xml:space="preserve"> </w:t>
      </w:r>
      <w:hyperlink r:id="rId20">
        <w:r>
          <w:rPr>
            <w:rStyle w:val="Hyperlink"/>
          </w:rPr>
          <w:t xml:space="preserve">markus1.bauer@tum.de</w:t>
        </w:r>
      </w:hyperlink>
    </w:p>
    <w:p>
      <w:r>
        <w:br w:type="page"/>
      </w:r>
    </w:p>
    <w:bookmarkStart w:id="21" w:name="abstract"/>
    <w:p>
      <w:pPr>
        <w:pStyle w:val="berschrift1"/>
      </w:pPr>
      <w:r>
        <w:t xml:space="preserve">Abstract</w:t>
      </w:r>
    </w:p>
    <w:p>
      <w:pPr>
        <w:numPr>
          <w:ilvl w:val="0"/>
          <w:numId w:val="1001"/>
        </w:numPr>
        <w:pStyle w:val="Compact"/>
      </w:pPr>
      <w:r>
        <w:t xml:space="preserve">Sowing is a well-established restoration technique to overcome dispersal limitation and site-specific seed mixtures are most effective to achieve functional communities. This is especially important if the restored vegetation has to protect critical infrastructure like roadsides and dikes. Here, an improved seed–substrate combination would secure slope stability, reduce mowing efforts, and generate biodiverse grasslands.</w:t>
      </w:r>
    </w:p>
    <w:p>
      <w:pPr>
        <w:numPr>
          <w:ilvl w:val="0"/>
          <w:numId w:val="1001"/>
        </w:numPr>
        <w:pStyle w:val="Compact"/>
      </w:pPr>
      <w:r>
        <w:t xml:space="preserve">A factorial field experiment addressed this topic on a dike at the Danube River in SE Germany in the 2018–2021 time period. On 288 plots, we tested three sand admixtures, two substrate depths, two seed densities and two seed mixtures (mesic hay meadow, calcareous grassland) in north or south exposition, and measured the persistence of sown species, the Favourable Conservation Status (FCS), and the successional distance to reference sites as calculated from an ordination.</w:t>
      </w:r>
    </w:p>
    <w:p>
      <w:pPr>
        <w:numPr>
          <w:ilvl w:val="0"/>
          <w:numId w:val="1001"/>
        </w:numPr>
        <w:pStyle w:val="Compact"/>
      </w:pPr>
      <w:r>
        <w:t xml:space="preserve">Sand admixture had a slightly positive effect on target variables, while substrate depth, seed density and mixture type had no effects on species persistence or FCS.</w:t>
      </w:r>
    </w:p>
    <w:p>
      <w:pPr>
        <w:numPr>
          <w:ilvl w:val="0"/>
          <w:numId w:val="1001"/>
        </w:numPr>
        <w:pStyle w:val="Compact"/>
      </w:pPr>
      <w:r>
        <w:t xml:space="preserve">Overall, the sown vegetation developed in the desired direction, but a recovery debt remained after four years, and some plots still showed similarities to negative references from ruderal sites. In north exposition, hay meadow-seed mixtures developed closer to the respective reference communities than dry grasslands.</w:t>
      </w:r>
    </w:p>
    <w:p>
      <w:pPr>
        <w:numPr>
          <w:ilvl w:val="0"/>
          <w:numId w:val="1001"/>
        </w:numPr>
        <w:pStyle w:val="Compact"/>
      </w:pPr>
      <w:r>
        <w:t xml:space="preserve">In south exposition, the sown communities developed poorly which might be due to a severe drought during establishment and the addition and removal of a geotextile. This initial negative effect remained over the entire observation period.</w:t>
      </w:r>
    </w:p>
    <w:p>
      <w:pPr>
        <w:numPr>
          <w:ilvl w:val="0"/>
          <w:numId w:val="1001"/>
        </w:numPr>
        <w:pStyle w:val="Compact"/>
      </w:pPr>
      <w:r>
        <w:t xml:space="preserve">Synthesis and applications: Site-adapted seed mixtures make restoration more efficient. However, applying several seed–substrate combinations might foster beta diversity. Furthermore, additional management efforts are recommended, as they might be necessary to reduce the recovery debt and re-sowing after unfavourable conditions.</w:t>
      </w:r>
    </w:p>
    <w:p>
      <w:r>
        <w:br w:type="page"/>
      </w:r>
    </w:p>
    <w:bookmarkEnd w:id="21"/>
    <w:bookmarkStart w:id="22" w:name="keywords"/>
    <w:p>
      <w:pPr>
        <w:pStyle w:val="berschrift1"/>
      </w:pPr>
      <w:r>
        <w:t xml:space="preserve">Keywords</w:t>
      </w:r>
    </w:p>
    <w:p>
      <w:pPr>
        <w:pStyle w:val="FirstParagraph"/>
      </w:pPr>
      <w:r>
        <w:t xml:space="preserve">Artificial soil mixture</w:t>
      </w:r>
    </w:p>
    <w:p>
      <w:pPr>
        <w:pStyle w:val="Textkrper"/>
      </w:pPr>
      <w:r>
        <w:t xml:space="preserve">Community assembly</w:t>
      </w:r>
    </w:p>
    <w:p>
      <w:pPr>
        <w:pStyle w:val="Textkrper"/>
      </w:pPr>
      <w:r>
        <w:t xml:space="preserve">Dry grasslands</w:t>
      </w:r>
    </w:p>
    <w:p>
      <w:pPr>
        <w:pStyle w:val="Textkrper"/>
      </w:pPr>
      <w:r>
        <w:t xml:space="preserve">Ecological restoration</w:t>
      </w:r>
    </w:p>
    <w:p>
      <w:pPr>
        <w:pStyle w:val="Textkrper"/>
      </w:pPr>
      <w:r>
        <w:t xml:space="preserve">Favourable Conservation Status</w:t>
      </w:r>
    </w:p>
    <w:p>
      <w:pPr>
        <w:pStyle w:val="Textkrper"/>
      </w:pPr>
      <w:r>
        <w:t xml:space="preserve">Hay meadow</w:t>
      </w:r>
    </w:p>
    <w:p>
      <w:pPr>
        <w:pStyle w:val="Textkrper"/>
      </w:pPr>
      <w:r>
        <w:t xml:space="preserve">Levee</w:t>
      </w:r>
    </w:p>
    <w:p>
      <w:pPr>
        <w:pStyle w:val="Textkrper"/>
      </w:pPr>
      <w:r>
        <w:t xml:space="preserve">Persistence</w:t>
      </w:r>
    </w:p>
    <w:p>
      <w:pPr>
        <w:pStyle w:val="Textkrper"/>
      </w:pPr>
      <w:r>
        <w:t xml:space="preserve">River embankment</w:t>
      </w:r>
    </w:p>
    <w:p>
      <w:pPr>
        <w:pStyle w:val="Textkrper"/>
      </w:pPr>
      <w:r>
        <w:t xml:space="preserve">Soil restoration</w:t>
      </w:r>
    </w:p>
    <w:p>
      <w:pPr>
        <w:pStyle w:val="Textkrper"/>
      </w:pPr>
      <w:r>
        <w:t xml:space="preserve">Sowing</w:t>
      </w:r>
    </w:p>
    <w:p>
      <w:pPr>
        <w:pStyle w:val="Textkrper"/>
      </w:pPr>
      <w:r>
        <w:t xml:space="preserve">Species composition</w:t>
      </w:r>
    </w:p>
    <w:p>
      <w:pPr>
        <w:pStyle w:val="Textkrper"/>
      </w:pPr>
      <w:r>
        <w:t xml:space="preserve">Species-rich grassland</w:t>
      </w:r>
    </w:p>
    <w:p>
      <w:r>
        <w:br w:type="page"/>
      </w:r>
    </w:p>
    <w:bookmarkEnd w:id="22"/>
    <w:bookmarkStart w:id="23" w:name="introduction"/>
    <w:p>
      <w:pPr>
        <w:pStyle w:val="berschrift1"/>
      </w:pPr>
      <w:r>
        <w:t xml:space="preserve">Introduction</w:t>
      </w:r>
    </w:p>
    <w:p>
      <w:pPr>
        <w:pStyle w:val="FirstParagraph"/>
      </w:pPr>
      <w:r>
        <w:t xml:space="preserve">Grasslands can support an exceedingly high biodiversity and they provide several ecosystem services</w:t>
      </w:r>
      <w:r>
        <w:t xml:space="preserve"> </w:t>
      </w:r>
      <w:r>
        <w:t xml:space="preserve">(Bardgett et al., 2021; Dengler et al., 2014)</w:t>
      </w:r>
      <w:r>
        <w:t xml:space="preserve">. However, they are globally endangered</w:t>
      </w:r>
      <w:r>
        <w:t xml:space="preserve"> </w:t>
      </w:r>
      <w:r>
        <w:t xml:space="preserve">(Bardgett et al., 2021)</w:t>
      </w:r>
      <w:r>
        <w:t xml:space="preserve"> </w:t>
      </w:r>
      <w:r>
        <w:t xml:space="preserve">for example by misguided afforestation</w:t>
      </w:r>
      <w:r>
        <w:t xml:space="preserve"> </w:t>
      </w:r>
      <w:r>
        <w:t xml:space="preserve">(Dudley et al., 2020)</w:t>
      </w:r>
      <w:r>
        <w:t xml:space="preserve">, and in Europe, calcareous grasslands and hay meadows are red-listed habitats</w:t>
      </w:r>
      <w:r>
        <w:t xml:space="preserve"> </w:t>
      </w:r>
      <w:r>
        <w:t xml:space="preserve">(Category 3,</w:t>
      </w:r>
      <w:r>
        <w:t xml:space="preserve"> </w:t>
      </w:r>
      <w:r>
        <w:t xml:space="preserve">‘</w:t>
      </w:r>
      <w:r>
        <w:t xml:space="preserve">vulnerable,</w:t>
      </w:r>
      <w:r>
        <w:t xml:space="preserve">’</w:t>
      </w:r>
      <w:r>
        <w:t xml:space="preserve"> </w:t>
      </w:r>
      <w:r>
        <w:t xml:space="preserve">Janssen et al., 2016)</w:t>
      </w:r>
      <w:r>
        <w:t xml:space="preserve">. Restoration is seen as a key factor to sustain biodiversity and ecosystem services</w:t>
      </w:r>
      <w:r>
        <w:t xml:space="preserve"> </w:t>
      </w:r>
      <w:r>
        <w:t xml:space="preserve">(</w:t>
      </w:r>
      <w:r>
        <w:rPr>
          <w:iCs/>
          <w:i/>
        </w:rPr>
        <w:t xml:space="preserve">Convention on Biological Diversity (CBD)</w:t>
      </w:r>
      <w:r>
        <w:t xml:space="preserve">, 2014; United Nations, 2019)</w:t>
      </w:r>
      <w:r>
        <w:t xml:space="preserve">, and sowing is a well-established approach to establish species-rich grasslands</w:t>
      </w:r>
      <w:r>
        <w:t xml:space="preserve"> </w:t>
      </w:r>
      <w:r>
        <w:t xml:space="preserve">(Kiehl et al., 2010)</w:t>
      </w:r>
      <w:r>
        <w:t xml:space="preserve">. Sowing high-diversity mixtures of local provenance produced by specialized companies is a promising way to scale up restoration efforts</w:t>
      </w:r>
      <w:r>
        <w:t xml:space="preserve"> </w:t>
      </w:r>
      <w:r>
        <w:t xml:space="preserve">(Freitag et al., 2021)</w:t>
      </w:r>
      <w:r>
        <w:t xml:space="preserve">, and to overcome the dispersal filters</w:t>
      </w:r>
      <w:r>
        <w:t xml:space="preserve"> </w:t>
      </w:r>
      <w:r>
        <w:t xml:space="preserve">(Myers &amp; Harms, 2009; Orrock et al., 2023)</w:t>
      </w:r>
      <w:r>
        <w:t xml:space="preserve">. However, there are still open questions about adjusting the seed mixtures to specific site conditions and future climate conditions</w:t>
      </w:r>
      <w:r>
        <w:t xml:space="preserve"> </w:t>
      </w:r>
      <w:r>
        <w:t xml:space="preserve">(Török et al., 2021)</w:t>
      </w:r>
      <w:r>
        <w:t xml:space="preserve">.</w:t>
      </w:r>
    </w:p>
    <w:p>
      <w:pPr>
        <w:pStyle w:val="Textkrper"/>
      </w:pPr>
      <w:r>
        <w:t xml:space="preserve">Restoration ecology can increase the predictability of restoration approaches</w:t>
      </w:r>
      <w:r>
        <w:t xml:space="preserve"> </w:t>
      </w:r>
      <w:r>
        <w:t xml:space="preserve">(Mouquet et al., 2015; Suding, 2011)</w:t>
      </w:r>
      <w:r>
        <w:t xml:space="preserve"> </w:t>
      </w:r>
      <w:r>
        <w:t xml:space="preserve">by using rigorous, repeatable, and transparent experiments based on advanced theory, which will finally lead to evidence-based restoration</w:t>
      </w:r>
      <w:r>
        <w:t xml:space="preserve"> </w:t>
      </w:r>
      <w:r>
        <w:t xml:space="preserve">(Cooke et al., 2018; Wainwright et al., 2018)</w:t>
      </w:r>
      <w:r>
        <w:t xml:space="preserve">. Local site conditions and the restoration method are key predictors of the development of vegetation after sowing</w:t>
      </w:r>
      <w:r>
        <w:t xml:space="preserve"> </w:t>
      </w:r>
      <w:r>
        <w:t xml:space="preserve">(Brudvig et al., 2017)</w:t>
      </w:r>
      <w:r>
        <w:t xml:space="preserve">, and habitat and biotic filtering are the main assembly factors which can be manipulated by the choice of the seed–substrate combination</w:t>
      </w:r>
      <w:r>
        <w:t xml:space="preserve"> </w:t>
      </w:r>
      <w:r>
        <w:t xml:space="preserve">(Török &amp; Helm, 2017)</w:t>
      </w:r>
      <w:r>
        <w:t xml:space="preserve">. This means a close adaptation of the substrate to the niche of the target species or of the seed mixtures to the characteristics of the chosen substrate. Suitable substrates should reduce habitat filtering, while the seed mixture should minimize the competitive exclusion of unsuitable species. Modifying seed mixtures to match specific site conditions could be based on functional plant traits</w:t>
      </w:r>
      <w:r>
        <w:t xml:space="preserve"> </w:t>
      </w:r>
      <w:r>
        <w:t xml:space="preserve">(Balazs et al., 2020; Funk et al., 2008; Laughlin, 2014)</w:t>
      </w:r>
      <w:r>
        <w:t xml:space="preserve">, although this is not easy to implement</w:t>
      </w:r>
      <w:r>
        <w:t xml:space="preserve"> </w:t>
      </w:r>
      <w:r>
        <w:t xml:space="preserve">(Bauer et al., 2022; Merchant et al., 2022)</w:t>
      </w:r>
      <w:r>
        <w:t xml:space="preserve">. This challenge is particularly interesting on artificial substrates that are used in urban areas</w:t>
      </w:r>
      <w:r>
        <w:t xml:space="preserve"> </w:t>
      </w:r>
      <w:r>
        <w:t xml:space="preserve">(Bauer et al., 2022)</w:t>
      </w:r>
      <w:r>
        <w:t xml:space="preserve">, quarries</w:t>
      </w:r>
      <w:r>
        <w:t xml:space="preserve"> </w:t>
      </w:r>
      <w:r>
        <w:t xml:space="preserve">(Chenot-Lescure et al., 2022)</w:t>
      </w:r>
      <w:r>
        <w:t xml:space="preserve">, or on dikes</w:t>
      </w:r>
      <w:r>
        <w:t xml:space="preserve"> </w:t>
      </w:r>
      <w:r>
        <w:t xml:space="preserve">(Liebrand &amp; Sykora, 1996)</w:t>
      </w:r>
      <w:r>
        <w:t xml:space="preserve">.</w:t>
      </w:r>
    </w:p>
    <w:p>
      <w:pPr>
        <w:pStyle w:val="Textkrper"/>
      </w:pPr>
      <w:r>
        <w:t xml:space="preserve">Dikes are promising sites for the restoration of species-rich grasslands because they can increase habitat area and connectivity of semi-natural grasslands and therefore significantly contribute to biodiversity conservation in agricultural landscapes</w:t>
      </w:r>
      <w:r>
        <w:t xml:space="preserve"> </w:t>
      </w:r>
      <w:r>
        <w:t xml:space="preserve">(Bátori et al., 2020)</w:t>
      </w:r>
      <w:r>
        <w:t xml:space="preserve">. Steep slopes with different exposition, contrasting substrate layers and dense swards for erosion protection characterize dikes</w:t>
      </w:r>
      <w:r>
        <w:t xml:space="preserve"> </w:t>
      </w:r>
      <w:r>
        <w:t xml:space="preserve">(Bátori et al., 2016; Berendse et al., 2015; Husicka, 2003)</w:t>
      </w:r>
      <w:r>
        <w:t xml:space="preserve">. Dikes can reconcile several requirements</w:t>
      </w:r>
      <w:r>
        <w:t xml:space="preserve"> </w:t>
      </w:r>
      <w:r>
        <w:t xml:space="preserve">(Teixeira et al., 2022)</w:t>
      </w:r>
      <w:r>
        <w:t xml:space="preserve">, which can be fostered by an adapted seed–substrate combination.</w:t>
      </w:r>
    </w:p>
    <w:p>
      <w:pPr>
        <w:pStyle w:val="Textkrper"/>
      </w:pPr>
      <w:r>
        <w:t xml:space="preserve">The aim of this study is to identify the best combination of seed mixtures and substrates for vital and species-rich grasslands on north- and south-exposed dike slopes. An experiment was set up to test agricultural soil with different amounts of sand admixture, substrate depths, seed densities, and seed mixture types. We expected a better development of calcareous grassland in the south exposition with shallow sandy substrates, and mesic hay meadows in north exposition on less sandy deep substrate. Furthermore, higher seed densities were recommended for slopes</w:t>
      </w:r>
      <w:r>
        <w:t xml:space="preserve"> </w:t>
      </w:r>
      <w:r>
        <w:t xml:space="preserve">(Kleber-Lerchbaumer et al., 2017)</w:t>
      </w:r>
      <w:r>
        <w:t xml:space="preserve">, albeit without experimental evidence.</w:t>
      </w:r>
    </w:p>
    <w:p>
      <w:pPr>
        <w:pStyle w:val="Textkrper"/>
      </w:pPr>
      <w:r>
        <w:t xml:space="preserve">To measure the success of restoration, we chose three indices. First, we observed the persistence of the sown species, which is a key objective of this restoration measure</w:t>
      </w:r>
      <w:r>
        <w:t xml:space="preserve"> </w:t>
      </w:r>
      <w:r>
        <w:t xml:space="preserve">(Wilsey, 2021)</w:t>
      </w:r>
      <w:r>
        <w:t xml:space="preserve">. For this purpose, presence of the sown species was monitored for three consecutive years. Second, we calculated the Favourable Conservation Status (FCS) which distinguishes characteristic diversity and derived diversity</w:t>
      </w:r>
      <w:r>
        <w:t xml:space="preserve"> </w:t>
      </w:r>
      <w:r>
        <w:t xml:space="preserve">(Helm et al., 2015)</w:t>
      </w:r>
      <w:r>
        <w:t xml:space="preserve">. Characteristic diversity is created by established species which belong to the habitat-specific species pool. In other words, these species are associated with the habitat type of interest, whereas derived species not. Third, the recovery was determined by measuring the successional distance to the reference grasslands</w:t>
      </w:r>
      <w:r>
        <w:t xml:space="preserve"> </w:t>
      </w:r>
      <w:r>
        <w:t xml:space="preserve">(Rydgren et al., 2019)</w:t>
      </w:r>
      <w:r>
        <w:t xml:space="preserve">. To complement these indices, the success of restoration or the difference from desired conditions was evaluated</w:t>
      </w:r>
      <w:r>
        <w:t xml:space="preserve"> </w:t>
      </w:r>
      <w:r>
        <w:t xml:space="preserve">(cf. Brudvig et al., 2017)</w:t>
      </w:r>
      <w:r>
        <w:t xml:space="preserve">. This was reached by comparing the species composition of the experimental plots with reference sites. We asked the following question to evaluate the restoration approaches and the success after four years:</w:t>
      </w:r>
    </w:p>
    <w:p>
      <w:pPr>
        <w:numPr>
          <w:ilvl w:val="0"/>
          <w:numId w:val="1002"/>
        </w:numPr>
      </w:pPr>
      <w:r>
        <w:t xml:space="preserve">Mesic vs dry grassland mixtures are favoured by site conditions on northern and southern dike slopes, respectively, compared to their reference sites.</w:t>
      </w:r>
    </w:p>
    <w:p>
      <w:pPr>
        <w:numPr>
          <w:ilvl w:val="0"/>
          <w:numId w:val="1002"/>
        </w:numPr>
      </w:pPr>
      <w:r>
        <w:t xml:space="preserve">Higher seed density increases persistence of sown species and suppresses non-target species.</w:t>
      </w:r>
    </w:p>
    <w:p>
      <w:pPr>
        <w:numPr>
          <w:ilvl w:val="0"/>
          <w:numId w:val="1002"/>
        </w:numPr>
      </w:pPr>
      <w:r>
        <w:t xml:space="preserve">Nutrient reduction (by sand addition) and lower soil depth has similar effects on community dynamics.</w:t>
      </w:r>
    </w:p>
    <w:p>
      <w:pPr>
        <w:numPr>
          <w:ilvl w:val="0"/>
          <w:numId w:val="1002"/>
        </w:numPr>
      </w:pPr>
      <w:r>
        <w:t xml:space="preserve">Increased soil depth has positive effects on these community changes. à Fig. 2</w:t>
      </w:r>
    </w:p>
    <w:p>
      <w:r>
        <w:br w:type="page"/>
      </w:r>
    </w:p>
    <w:bookmarkEnd w:id="23"/>
    <w:bookmarkStart w:id="26" w:name="materials-methods"/>
    <w:p>
      <w:pPr>
        <w:pStyle w:val="berschrift1"/>
      </w:pPr>
      <w:r>
        <w:t xml:space="preserve">Materials &amp; Methods</w:t>
      </w:r>
    </w:p>
    <w:bookmarkStart w:id="24" w:name="experimental-design"/>
    <w:p>
      <w:pPr>
        <w:pStyle w:val="berschrift2"/>
      </w:pPr>
      <w:r>
        <w:t xml:space="preserve">Experimental design</w:t>
      </w:r>
    </w:p>
    <w:p>
      <w:pPr>
        <w:pStyle w:val="FirstParagraph"/>
      </w:pPr>
      <w:r>
        <w:t xml:space="preserve">The combinations of seed mixtures and substrates (</w:t>
      </w:r>
      <w:r>
        <w:t xml:space="preserve">‘</w:t>
      </w:r>
      <w:r>
        <w:t xml:space="preserve">seed–substrate combinations</w:t>
      </w:r>
      <w:r>
        <w:t xml:space="preserve">’</w:t>
      </w:r>
      <w:r>
        <w:t xml:space="preserve">) were tested on a dike at the Danube River in SE Germany (Figure</w:t>
      </w:r>
      <w:r>
        <w:t xml:space="preserve"> </w:t>
      </w:r>
      <w:hyperlink w:anchor="map">
        <w:r xmlns:w14="http://schemas.microsoft.com/office/word/2010/wordml">
          <w:rPr/>
          <w:fldChar w:fldCharType="begin" w:dirty="true"/>
        </w:r>
        <w:r xmlns:w14="http://schemas.microsoft.com/office/word/2010/wordml">
          <w:rPr/>
          <w:instrText xml:space="preserve" w:dirty="true"> REF map \h</w:instrText>
        </w:r>
        <w:r xmlns:w14="http://schemas.microsoft.com/office/word/2010/wordml">
          <w:rPr/>
          <w:fldChar w:fldCharType="end" w:dirty="true"/>
        </w:r>
      </w:hyperlink>
      <w:r>
        <w:t xml:space="preserve">; 314 m a.s.l.; WGS84 (lat/lon), 48.83895, 12.88412). The climate was temperate-suboceanic with a mean annual temperature of 8.4 °C and an annual precipitation of 984 mm</w:t>
      </w:r>
      <w:r>
        <w:t xml:space="preserve"> </w:t>
      </w:r>
      <w:r>
        <w:t xml:space="preserve">(Deutscher Wetterdienst, 2021)</w:t>
      </w:r>
      <w:r>
        <w:t xml:space="preserve">. During the study, three exceptionally dry years (2018–2020) occurred</w:t>
      </w:r>
      <w:r>
        <w:t xml:space="preserve"> </w:t>
      </w:r>
      <w:r>
        <w:t xml:space="preserve">(Climate Data Center of the German Meteorological Service, 2022a, 2022b; Hari et al., 2020)</w:t>
      </w:r>
      <w:r>
        <w:t xml:space="preserve">, and three minor floods which did not reach the plots</w:t>
      </w:r>
      <w:r>
        <w:t xml:space="preserve"> </w:t>
      </w:r>
      <w:r>
        <w:t xml:space="preserve">(Appendix A1, Bayerisches Landesamt für Umwelt, 2021b, 2021a)</w:t>
      </w:r>
      <w:r>
        <w:t xml:space="preserve">. The substrates consisted of sand (0–4 mm) and agricultural soil obtained from a nearby dike construction site near the village of Steinkirchen. A big roller mixed both components and an excavator put the substrates in the prepared plots.</w:t>
      </w:r>
    </w:p>
    <w:p>
      <w:pPr>
        <w:pStyle w:val="Textkrper"/>
      </w:pPr>
      <w:r>
        <w:t xml:space="preserve">The target vegetation was lowland mesic hay meadows and semi-dry calcareous grassland</w:t>
      </w:r>
      <w:r>
        <w:t xml:space="preserve"> </w:t>
      </w:r>
      <w:r>
        <w:t xml:space="preserve">Mucina et al. (2016)</w:t>
      </w:r>
      <w:r>
        <w:t xml:space="preserve">. The species pool of hay meadows and dry grasslands consisted of 55 and 58 species, respectively. The seeds were received from a commercial producer of autochthonous seeds (Co. Krimmer, Pulling). From these species pools, 20 species were randomly selected for each plot (Appendix A2). The seed mixtures always contained seven grasses (60 wt% of total seed mixture), three legumes (5%) and ten herbs (35%) (Table</w:t>
      </w:r>
      <w:r>
        <w:t xml:space="preserve"> </w:t>
      </w:r>
      <w:hyperlink w:anchor="seedmix">
        <w:r xmlns:w14="http://schemas.microsoft.com/office/word/2010/wordml">
          <w:rPr/>
          <w:fldChar w:fldCharType="begin" w:dirty="true"/>
        </w:r>
        <w:r xmlns:w14="http://schemas.microsoft.com/office/word/2010/wordml">
          <w:rPr/>
          <w:instrText xml:space="preserve" w:dirty="true"> REF seedmix \h</w:instrText>
        </w:r>
        <w:r xmlns:w14="http://schemas.microsoft.com/office/word/2010/wordml">
          <w:rPr/>
          <w:fldChar w:fldCharType="end" w:dirty="true"/>
        </w:r>
      </w:hyperlink>
      <w:r>
        <w:t xml:space="preserve">). The community-weighted means (CWM) of functional traits differed between the seed mixture types (Appendix A3). As expected, the hay-meadow mixtures had a higher specific leaf area (SLA), lower seed mass, and higher canopy height than the dry-grassland mixtures. The south-exposed plots were sown in mid-April 2018 and the north exposition 14 days later. Due to the drought, the south exposition was protected by a geotextile consisting of straw chaff (350 g m</w:t>
      </w:r>
      <w:r>
        <w:rPr>
          <w:vertAlign w:val="superscript"/>
        </w:rPr>
        <w:t xml:space="preserve">-2</w:t>
      </w:r>
      <w:r>
        <w:t xml:space="preserve">) which was removed after two weeks due to unsatisfactory effects like the death of several protected lizards. The management started with a cut without hay removal and a mowing height of 20 cm in August 2018, followed by standard deep cuts with hay removal in July 2019 and 2020. In October 2018,</w:t>
      </w:r>
      <w:r>
        <w:t xml:space="preserve"> </w:t>
      </w:r>
      <w:r>
        <w:rPr>
          <w:iCs/>
          <w:i/>
        </w:rPr>
        <w:t xml:space="preserve">Bromus hordeaceus</w:t>
      </w:r>
      <w:r>
        <w:t xml:space="preserve"> </w:t>
      </w:r>
      <w:r>
        <w:t xml:space="preserve">was sown as a nursery grass to provide safe sites under drought conditions.</w:t>
      </w:r>
    </w:p>
    <w:p>
      <w:pPr>
        <w:pStyle w:val="Textkrper"/>
      </w:pPr>
      <w:r>
        <w:t xml:space="preserve">We used 288 plots of the size 2.0 m × 2.0 m which were halfway up the slopes of the dike, distributed over the north and south exposition, and arranged in six blocks (= replicates). The experiment used a split-plot design combined with a randomized complete block design (Figure</w:t>
      </w:r>
      <w:r>
        <w:t xml:space="preserve"> </w:t>
      </w:r>
      <w:hyperlink w:anchor="map">
        <w:r xmlns:w14="http://schemas.microsoft.com/office/word/2010/wordml">
          <w:rPr/>
          <w:fldChar w:fldCharType="begin" w:dirty="true"/>
        </w:r>
        <w:r xmlns:w14="http://schemas.microsoft.com/office/word/2010/wordml">
          <w:rPr/>
          <w:instrText xml:space="preserve" w:dirty="true"> REF map \h</w:instrText>
        </w:r>
        <w:r xmlns:w14="http://schemas.microsoft.com/office/word/2010/wordml">
          <w:rPr/>
          <w:fldChar w:fldCharType="end" w:dirty="true"/>
        </w:r>
      </w:hyperlink>
      <w:r>
        <w:t xml:space="preserve">). The split plot was created by the two expositions of the dike, where all 24 treatment combinations were tested, i.e., sand admixtures (0, 25, and 50%), soil depths (15 vs. 30 cm), and the two seed mixture types with the normal seed density and an increased density recommended for slopes</w:t>
      </w:r>
      <w:r>
        <w:t xml:space="preserve"> </w:t>
      </w:r>
      <w:r>
        <w:t xml:space="preserve">(4 vs. 8 g m</w:t>
      </w:r>
      <w:r>
        <w:rPr>
          <w:vertAlign w:val="superscript"/>
        </w:rPr>
        <w:t xml:space="preserve">-2</w:t>
      </w:r>
      <w:r>
        <w:t xml:space="preserve">, Kiehl et al., 2010; Kleber-Lerchbaumer et al., 2017)</w:t>
      </w:r>
      <w:r>
        <w:t xml:space="preserve">.</w:t>
      </w:r>
    </w:p>
    <w:p>
      <w:pPr>
        <w:pStyle w:val="Textkrper"/>
      </w:pPr>
      <w:r>
        <w:t xml:space="preserve">Under the substrate, a 5 cm thick drainage layer of gravel (0-16 mm) was installed. Soil samples of the three substrates were tested on both expositions by mixing several sub-samples from different plots. The sand admixture changed the soil texture, increased the C/N ratio, reduced calcium carbonate, but did hardly change the pH which were within the weak alkaline range (Table</w:t>
      </w:r>
      <w:r>
        <w:t xml:space="preserve"> </w:t>
      </w:r>
      <w:hyperlink w:anchor="substrate">
        <w:r xmlns:w14="http://schemas.microsoft.com/office/word/2010/wordml">
          <w:rPr/>
          <w:fldChar w:fldCharType="begin" w:dirty="true"/>
        </w:r>
        <w:r xmlns:w14="http://schemas.microsoft.com/office/word/2010/wordml">
          <w:rPr/>
          <w:instrText xml:space="preserve" w:dirty="true"> REF substrate \h</w:instrText>
        </w:r>
        <w:r xmlns:w14="http://schemas.microsoft.com/office/word/2010/wordml">
          <w:rPr/>
          <w:fldChar w:fldCharType="end" w:dirty="true"/>
        </w:r>
      </w:hyperlink>
      <w:r>
        <w:t xml:space="preserve">). The pH corresponded to a well-established dike vegetation on the Rhine River</w:t>
      </w:r>
      <w:r>
        <w:t xml:space="preserve"> </w:t>
      </w:r>
      <w:r>
        <w:t xml:space="preserve">(Husicka, 2003)</w:t>
      </w:r>
      <w:r>
        <w:t xml:space="preserve">, phosphate and potassium were rather scarce for agricultural soils and magnesium was high</w:t>
      </w:r>
      <w:r>
        <w:t xml:space="preserve"> </w:t>
      </w:r>
      <w:r>
        <w:t xml:space="preserve">(Bayerisches Landesamt für Landwirtschaft (LfL), 2022)</w:t>
      </w:r>
      <w:r>
        <w:t xml:space="preserve">. The vegetation was surveyed in June or July 2018–2021</w:t>
      </w:r>
      <w:r>
        <w:t xml:space="preserve"> </w:t>
      </w:r>
      <w:r>
        <w:t xml:space="preserve">(Braun-Blanquet, 1964)</w:t>
      </w:r>
      <w:r>
        <w:t xml:space="preserve"> </w:t>
      </w:r>
      <w:r>
        <w:t xml:space="preserve">and the Londo scale was used</w:t>
      </w:r>
      <w:r>
        <w:t xml:space="preserve"> </w:t>
      </w:r>
      <w:r>
        <w:t xml:space="preserve">(Londo, 1976)</w:t>
      </w:r>
      <w:r>
        <w:t xml:space="preserve">. The establishment rates of species are recorded in Appendix A4. In total, 48 species of the species pool of hay meadows (87%) and 46 (79%) of dry grasslands established by 2021, which are rather good ratios</w:t>
      </w:r>
      <w:r>
        <w:t xml:space="preserve"> </w:t>
      </w:r>
      <w:r>
        <w:t xml:space="preserve">(Hedberg &amp; Kotowski, 2010)</w:t>
      </w:r>
      <w:r>
        <w:t xml:space="preserve">. The species established 31 ± 22% of their sown plot. In total, 274 species were detected (Appendix A5). Persistence was derived from the</w:t>
      </w:r>
      <w:r>
        <w:t xml:space="preserve"> </w:t>
      </w:r>
      <w:r>
        <w:t xml:space="preserve">‘</w:t>
      </w:r>
      <w:r>
        <w:t xml:space="preserve">species losses</w:t>
      </w:r>
      <w:r>
        <w:t xml:space="preserve">’</w:t>
      </w:r>
      <w:r>
        <w:t xml:space="preserve"> </w:t>
      </w:r>
      <w:r>
        <w:t xml:space="preserve">component of the temporal beta-diversity index (TBI; 1 −</w:t>
      </w:r>
      <w:r>
        <w:t xml:space="preserve"> </w:t>
      </w:r>
      <w:r>
        <w:rPr>
          <w:iCs/>
          <w:i/>
        </w:rPr>
        <w:t xml:space="preserve">B</w:t>
      </w:r>
      <w:r>
        <w:rPr>
          <w:vertAlign w:val="subscript"/>
        </w:rPr>
        <w:t xml:space="preserve">sor</w:t>
      </w:r>
      <w:r>
        <w:t xml:space="preserve">) which was calculated by comparing the seed mixtures with the respective species composition of each year using Sørensen dissimilarity</w:t>
      </w:r>
      <w:r>
        <w:t xml:space="preserve"> </w:t>
      </w:r>
      <w:r>
        <w:t xml:space="preserve">(Legendre, 2019)</w:t>
      </w:r>
      <w:r>
        <w:t xml:space="preserve">. The successional distance quantifies the ordination distance of a plot to the average reference site</w:t>
      </w:r>
      <w:r>
        <w:t xml:space="preserve"> </w:t>
      </w:r>
      <w:r>
        <w:t xml:space="preserve">(</w:t>
      </w:r>
      <w:r>
        <w:rPr>
          <w:iCs/>
          <w:i/>
        </w:rPr>
        <w:t xml:space="preserve">d</w:t>
      </w:r>
      <w:r>
        <w:rPr>
          <w:vertAlign w:val="subscript"/>
          <w:iCs/>
          <w:i/>
        </w:rPr>
        <w:t xml:space="preserve">jt,0</w:t>
      </w:r>
      <w:r>
        <w:t xml:space="preserve">, Rydgren et al., 2019)</w:t>
      </w:r>
      <w:r>
        <w:t xml:space="preserve">.</w:t>
      </w:r>
    </w:p>
    <w:p>
      <w:pPr>
        <w:pStyle w:val="Textkrper"/>
      </w:pPr>
      <w:r>
        <w:t xml:space="preserve">Reference vegetation surveys were extracted from sPlotOpen</w:t>
      </w:r>
      <w:r>
        <w:t xml:space="preserve"> </w:t>
      </w:r>
      <w:r>
        <w:t xml:space="preserve">(Sabatini et al., 2021)</w:t>
      </w:r>
      <w:r>
        <w:t xml:space="preserve"> </w:t>
      </w:r>
      <w:r>
        <w:t xml:space="preserve">and our own surveys on the Danube dikes in the surroundings</w:t>
      </w:r>
      <w:r>
        <w:t xml:space="preserve"> </w:t>
      </w:r>
      <w:r>
        <w:t xml:space="preserve">(Bauer et al., 2023)</w:t>
      </w:r>
      <w:r>
        <w:t xml:space="preserve">. We selected six calcareous grassland plots</w:t>
      </w:r>
      <w:r>
        <w:t xml:space="preserve"> </w:t>
      </w:r>
      <w:r>
        <w:t xml:space="preserve">(EUNIS code R1A, Chytrý et al., 2020)</w:t>
      </w:r>
      <w:r>
        <w:t xml:space="preserve"> </w:t>
      </w:r>
      <w:r>
        <w:t xml:space="preserve">within SE Germany from sPlotOpen and 98 plots of our own survey which included also lowland hay meadows (R22) and as a negative reference ruderal, dry and anthropogenic vegetation (V38).</w:t>
      </w:r>
    </w:p>
    <w:bookmarkEnd w:id="24"/>
    <w:bookmarkStart w:id="25" w:name="statistical-analyses"/>
    <w:p>
      <w:pPr>
        <w:pStyle w:val="berschrift2"/>
      </w:pPr>
      <w:r>
        <w:t xml:space="preserve">Statistical analyses</w:t>
      </w:r>
    </w:p>
    <w:p>
      <w:pPr>
        <w:pStyle w:val="FirstParagraph"/>
      </w:pPr>
      <w:r>
        <w:t xml:space="preserve">To measure the effects of the treatments on our three response variables, we calculated Bayesian linear mixed-effects models (BLMM) with the random effect plot nested in block with the Cauchy prior</w:t>
      </w:r>
      <w:r>
        <w:t xml:space="preserve"> </w:t>
      </w:r>
      <w:r>
        <w:t xml:space="preserve">(see Lemoine, 2019)</w:t>
      </w:r>
      <w:r>
        <w:t xml:space="preserve">. Furthermore, we included as a fixed effect the botanists recording a certain plot. For the simple effects of the treatments, we chose plausible weakly informative priors. To evaluate the influence of the priors, prior predictive checks and models with non-informative priors were calculated. For the computation, we used four chains, a thinning rate of two, 5,000 iterations for warm-up, and 10,000 in total. We used the Markov Chain Monte Carlo method (MCMC) with the no-U-turn Sampler (NUTS), which is based on the Hamiltonian Monte Carlo approach (HMC). For evaluating the computation, the convergence of the four chains was checked using trace plots and evaluating R-hat values, and MCMC chain resolution by the effective sampling size (ESS). Posterior predictive checks were done with Kernel density estimates histograms of statistics skew and leave-one-out (LOO) cross-validation</w:t>
      </w:r>
      <w:r>
        <w:t xml:space="preserve"> </w:t>
      </w:r>
      <w:r>
        <w:t xml:space="preserve">(see Gabry et al., 2019)</w:t>
      </w:r>
      <w:r>
        <w:t xml:space="preserve">. Finally, the models were compared with the Bayes factor (BF) and Bayesian</w:t>
      </w:r>
      <w:r>
        <w:t xml:space="preserve"> </w:t>
      </w:r>
      <w:r>
        <w:rPr>
          <w:iCs/>
          <w:i/>
        </w:rPr>
        <w:t xml:space="preserve">R</w:t>
      </w:r>
      <w:r>
        <w:t xml:space="preserve">² values</w:t>
      </w:r>
      <w:r>
        <w:t xml:space="preserve"> </w:t>
      </w:r>
      <w:r>
        <w:t xml:space="preserve">(Gelman et al., 2019)</w:t>
      </w:r>
      <w:r>
        <w:t xml:space="preserve">. A non-metric multidimensional scaling ordination (NMDS) with Sørensen dissimilarity was used to visualize variation in species composition in space and time (2D-stress 0.21). Seven species were excluded because they had an accumulated cover over all plots of less than 0.5%. Finally, 343 species were included in the ordination.</w:t>
      </w:r>
    </w:p>
    <w:p>
      <w:pPr>
        <w:pStyle w:val="Textkrper"/>
      </w:pPr>
      <w:r>
        <w:t xml:space="preserve">Data, code and the entire model specifications and evaluations are stored on GitHub and presented in an easily accessible document for scrolling through</w:t>
      </w:r>
      <w:r>
        <w:t xml:space="preserve"> </w:t>
      </w:r>
      <w:r>
        <w:rPr>
          <w:rFonts w:ascii="Arial" w:hAnsi="Arial" w:eastAsia="Arial" w:cs="Arial"/>
          <w:i w:val="false"/>
          <w:b w:val="false"/>
          <w:u w:val="none"/>
          <w:sz w:val="20"/>
          <w:szCs w:val="20"/>
          <w:color w:val="000000"/>
          <w:shd w:val="clear" w:color="auto" w:fill="FFFF00"/>
        </w:rPr>
        <w:t xml:space="preserve">(include Zenodo reference)</w:t>
      </w:r>
      <w:r>
        <w:t xml:space="preserve">.</w:t>
      </w:r>
      <w:r>
        <w:t xml:space="preserve"> </w:t>
      </w:r>
      <w:r>
        <w:t xml:space="preserve">There, the sections are referenced to the Bayesian analysis reporting guidelines</w:t>
      </w:r>
      <w:r>
        <w:t xml:space="preserve"> </w:t>
      </w:r>
      <w:r>
        <w:t xml:space="preserve">(BARG, Kruschke, 2021)</w:t>
      </w:r>
      <w:r>
        <w:t xml:space="preserve">. All analyses were performed in R</w:t>
      </w:r>
      <w:r>
        <w:t xml:space="preserve"> </w:t>
      </w:r>
      <w:r>
        <w:t xml:space="preserve">(Version 4.2.2, R Core Team, 2022)</w:t>
      </w:r>
      <w:r>
        <w:t xml:space="preserve"> </w:t>
      </w:r>
      <w:r>
        <w:t xml:space="preserve">with the functions</w:t>
      </w:r>
      <w:r>
        <w:t xml:space="preserve"> </w:t>
      </w:r>
      <w:r>
        <w:t xml:space="preserve">‘</w:t>
      </w:r>
      <w:r>
        <w:t xml:space="preserve">brm</w:t>
      </w:r>
      <w:r>
        <w:t xml:space="preserve">’</w:t>
      </w:r>
      <w:r>
        <w:t xml:space="preserve"> </w:t>
      </w:r>
      <w:r>
        <w:t xml:space="preserve">from the package</w:t>
      </w:r>
      <w:r>
        <w:t xml:space="preserve"> </w:t>
      </w:r>
      <w:r>
        <w:t xml:space="preserve">‘</w:t>
      </w:r>
      <w:r>
        <w:t xml:space="preserve">brms</w:t>
      </w:r>
      <w:r>
        <w:t xml:space="preserve">’</w:t>
      </w:r>
      <w:r>
        <w:t xml:space="preserve"> </w:t>
      </w:r>
      <w:r>
        <w:t xml:space="preserve">(Bürkner, 2017)</w:t>
      </w:r>
      <w:r>
        <w:t xml:space="preserve"> </w:t>
      </w:r>
      <w:r>
        <w:t xml:space="preserve">for model calculation, several functions from</w:t>
      </w:r>
      <w:r>
        <w:t xml:space="preserve"> </w:t>
      </w:r>
      <w:r>
        <w:t xml:space="preserve">‘</w:t>
      </w:r>
      <w:r>
        <w:t xml:space="preserve">brms</w:t>
      </w:r>
      <w:r>
        <w:t xml:space="preserve">’</w:t>
      </w:r>
      <w:r>
        <w:t xml:space="preserve"> </w:t>
      </w:r>
      <w:r>
        <w:t xml:space="preserve">and</w:t>
      </w:r>
      <w:r>
        <w:t xml:space="preserve"> </w:t>
      </w:r>
      <w:r>
        <w:t xml:space="preserve">‘</w:t>
      </w:r>
      <w:r>
        <w:t xml:space="preserve">bayesplot</w:t>
      </w:r>
      <w:r>
        <w:t xml:space="preserve">’</w:t>
      </w:r>
      <w:r>
        <w:t xml:space="preserve"> </w:t>
      </w:r>
      <w:r>
        <w:t xml:space="preserve">(Gabry &amp; Mahr, 2022)</w:t>
      </w:r>
      <w:r>
        <w:t xml:space="preserve"> </w:t>
      </w:r>
      <w:r>
        <w:t xml:space="preserve">for model evaluation, and</w:t>
      </w:r>
      <w:r>
        <w:t xml:space="preserve"> </w:t>
      </w:r>
      <w:r>
        <w:t xml:space="preserve">‘</w:t>
      </w:r>
      <w:r>
        <w:t xml:space="preserve">metaMDS</w:t>
      </w:r>
      <w:r>
        <w:t xml:space="preserve">’</w:t>
      </w:r>
      <w:r>
        <w:t xml:space="preserve"> </w:t>
      </w:r>
      <w:r>
        <w:t xml:space="preserve">from</w:t>
      </w:r>
      <w:r>
        <w:t xml:space="preserve"> </w:t>
      </w:r>
      <w:r>
        <w:t xml:space="preserve">‘</w:t>
      </w:r>
      <w:r>
        <w:t xml:space="preserve">vegan</w:t>
      </w:r>
      <w:r>
        <w:t xml:space="preserve">’</w:t>
      </w:r>
      <w:r>
        <w:t xml:space="preserve"> </w:t>
      </w:r>
      <w:r>
        <w:t xml:space="preserve">for the ordination</w:t>
      </w:r>
      <w:r>
        <w:t xml:space="preserve"> </w:t>
      </w:r>
      <w:r>
        <w:t xml:space="preserve">(Oksanen et al., 2022)</w:t>
      </w:r>
      <w:r>
        <w:t xml:space="preserve">.</w:t>
      </w:r>
    </w:p>
    <w:p>
      <w:r>
        <w:br w:type="page"/>
      </w:r>
    </w:p>
    <w:bookmarkEnd w:id="25"/>
    <w:bookmarkEnd w:id="26"/>
    <w:bookmarkStart w:id="29" w:name="results"/>
    <w:p>
      <w:pPr>
        <w:pStyle w:val="berschrift1"/>
      </w:pPr>
      <w:r>
        <w:t xml:space="preserve">Results</w:t>
      </w:r>
    </w:p>
    <w:bookmarkStart w:id="27" w:name="weak-effects-of-restoration-treatments"/>
    <w:p>
      <w:pPr>
        <w:pStyle w:val="berschrift2"/>
      </w:pPr>
      <w:r>
        <w:t xml:space="preserve">Weak effects of restoration treatments</w:t>
      </w:r>
    </w:p>
    <w:p>
      <w:pPr>
        <w:pStyle w:val="FirstParagraph"/>
      </w:pPr>
      <w:r>
        <w:t xml:space="preserve">We could identify a statistically clear positive effect of the sand admixture on the persistence of sown species and on the recovery rate (Figure</w:t>
      </w:r>
      <w:r>
        <w:t xml:space="preserve"> </w:t>
      </w:r>
      <w:hyperlink w:anchor="effects">
        <w:r xmlns:w14="http://schemas.microsoft.com/office/word/2010/wordml">
          <w:rPr/>
          <w:fldChar w:fldCharType="begin" w:dirty="true"/>
        </w:r>
        <w:r xmlns:w14="http://schemas.microsoft.com/office/word/2010/wordml">
          <w:rPr/>
          <w:instrText xml:space="preserve" w:dirty="true"> REF effects \h</w:instrText>
        </w:r>
        <w:r xmlns:w14="http://schemas.microsoft.com/office/word/2010/wordml">
          <w:rPr/>
          <w:fldChar w:fldCharType="end" w:dirty="true"/>
        </w:r>
      </w:hyperlink>
      <w:r>
        <w:t xml:space="preserve">). The posterior distributions are also shown in the interaction plots that separate exposition and survey year (Figures</w:t>
      </w:r>
      <w:r>
        <w:t xml:space="preserve"> </w:t>
      </w:r>
      <w:hyperlink w:anchor="persistence">
        <w:r xmlns:w14="http://schemas.microsoft.com/office/word/2010/wordml">
          <w:rPr/>
          <w:fldChar w:fldCharType="begin" w:dirty="true"/>
        </w:r>
        <w:r xmlns:w14="http://schemas.microsoft.com/office/word/2010/wordml">
          <w:rPr/>
          <w:instrText xml:space="preserve" w:dirty="true"> REF persistence \h</w:instrText>
        </w:r>
        <w:r xmlns:w14="http://schemas.microsoft.com/office/word/2010/wordml">
          <w:rPr/>
          <w:fldChar w:fldCharType="end" w:dirty="true"/>
        </w:r>
      </w:hyperlink>
      <w:r>
        <w:t xml:space="preserve">,</w:t>
      </w:r>
      <w:r>
        <w:t xml:space="preserve"> </w:t>
      </w:r>
      <w:hyperlink w:anchor="fcs">
        <w:r xmlns:w14="http://schemas.microsoft.com/office/word/2010/wordml">
          <w:rPr/>
          <w:fldChar w:fldCharType="begin" w:dirty="true"/>
        </w:r>
        <w:r xmlns:w14="http://schemas.microsoft.com/office/word/2010/wordml">
          <w:rPr/>
          <w:instrText xml:space="preserve" w:dirty="true"> REF fcs \h</w:instrText>
        </w:r>
        <w:r xmlns:w14="http://schemas.microsoft.com/office/word/2010/wordml">
          <w:rPr/>
          <w:fldChar w:fldCharType="end" w:dirty="true"/>
        </w:r>
      </w:hyperlink>
      <w:r>
        <w:t xml:space="preserve">,</w:t>
      </w:r>
      <w:r>
        <w:t xml:space="preserve"> </w:t>
      </w:r>
      <w:hyperlink w:anchor="recovery">
        <w:r xmlns:w14="http://schemas.microsoft.com/office/word/2010/wordml">
          <w:rPr/>
          <w:fldChar w:fldCharType="begin" w:dirty="true"/>
        </w:r>
        <w:r xmlns:w14="http://schemas.microsoft.com/office/word/2010/wordml">
          <w:rPr/>
          <w:instrText xml:space="preserve" w:dirty="true"> REF recovery \h</w:instrText>
        </w:r>
        <w:r xmlns:w14="http://schemas.microsoft.com/office/word/2010/wordml">
          <w:rPr/>
          <w:fldChar w:fldCharType="end" w:dirty="true"/>
        </w:r>
      </w:hyperlink>
      <w:r>
        <w:t xml:space="preserve">). For all three response variables, the vegetation developed strongly positive after one year, but the recovery rate slowed down in the following years. Both expositions had similar trends but for all responses, the values were clearly lower in south exposition, e.g., persistence values were on average more than 46% higher in north exposition (Figure</w:t>
      </w:r>
      <w:r>
        <w:t xml:space="preserve"> </w:t>
      </w:r>
      <w:hyperlink w:anchor="persistence">
        <w:r xmlns:w14="http://schemas.microsoft.com/office/word/2010/wordml">
          <w:rPr/>
          <w:fldChar w:fldCharType="begin" w:dirty="true"/>
        </w:r>
        <w:r xmlns:w14="http://schemas.microsoft.com/office/word/2010/wordml">
          <w:rPr/>
          <w:instrText xml:space="preserve" w:dirty="true"> REF persistence \h</w:instrText>
        </w:r>
        <w:r xmlns:w14="http://schemas.microsoft.com/office/word/2010/wordml">
          <w:rPr/>
          <w:fldChar w:fldCharType="end" w:dirty="true"/>
        </w:r>
      </w:hyperlink>
      <w:r>
        <w:t xml:space="preserve">). For the interactions, the effects of restoration treatments were neither clear nor strong (Figures</w:t>
      </w:r>
      <w:r>
        <w:t xml:space="preserve"> </w:t>
      </w:r>
      <w:hyperlink w:anchor="persistence">
        <w:r xmlns:w14="http://schemas.microsoft.com/office/word/2010/wordml">
          <w:rPr/>
          <w:fldChar w:fldCharType="begin" w:dirty="true"/>
        </w:r>
        <w:r xmlns:w14="http://schemas.microsoft.com/office/word/2010/wordml">
          <w:rPr/>
          <w:instrText xml:space="preserve" w:dirty="true"> REF persistence \h</w:instrText>
        </w:r>
        <w:r xmlns:w14="http://schemas.microsoft.com/office/word/2010/wordml">
          <w:rPr/>
          <w:fldChar w:fldCharType="end" w:dirty="true"/>
        </w:r>
      </w:hyperlink>
      <w:r>
        <w:t xml:space="preserve">,</w:t>
      </w:r>
      <w:r>
        <w:t xml:space="preserve"> </w:t>
      </w:r>
      <w:hyperlink w:anchor="fcs">
        <w:r xmlns:w14="http://schemas.microsoft.com/office/word/2010/wordml">
          <w:rPr/>
          <w:fldChar w:fldCharType="begin" w:dirty="true"/>
        </w:r>
        <w:r xmlns:w14="http://schemas.microsoft.com/office/word/2010/wordml">
          <w:rPr/>
          <w:instrText xml:space="preserve" w:dirty="true"> REF fcs \h</w:instrText>
        </w:r>
        <w:r xmlns:w14="http://schemas.microsoft.com/office/word/2010/wordml">
          <w:rPr/>
          <w:fldChar w:fldCharType="end" w:dirty="true"/>
        </w:r>
      </w:hyperlink>
      <w:r>
        <w:t xml:space="preserve">,</w:t>
      </w:r>
      <w:r>
        <w:t xml:space="preserve"> </w:t>
      </w:r>
      <w:hyperlink w:anchor="recovery">
        <w:r xmlns:w14="http://schemas.microsoft.com/office/word/2010/wordml">
          <w:rPr/>
          <w:fldChar w:fldCharType="begin" w:dirty="true"/>
        </w:r>
        <w:r xmlns:w14="http://schemas.microsoft.com/office/word/2010/wordml">
          <w:rPr/>
          <w:instrText xml:space="preserve" w:dirty="true"> REF recovery \h</w:instrText>
        </w:r>
        <w:r xmlns:w14="http://schemas.microsoft.com/office/word/2010/wordml">
          <w:rPr/>
          <w:fldChar w:fldCharType="end" w:dirty="true"/>
        </w:r>
      </w:hyperlink>
      <w:r>
        <w:t xml:space="preserve">). Persistence of both seed mixture types was slightly positively affected by sand admixture on the north exposition (+ 6–7 ± 4%, Figure</w:t>
      </w:r>
      <w:r>
        <w:t xml:space="preserve"> </w:t>
      </w:r>
      <w:hyperlink w:anchor="persistence">
        <w:r xmlns:w14="http://schemas.microsoft.com/office/word/2010/wordml">
          <w:rPr/>
          <w:fldChar w:fldCharType="begin" w:dirty="true"/>
        </w:r>
        <w:r xmlns:w14="http://schemas.microsoft.com/office/word/2010/wordml">
          <w:rPr/>
          <w:instrText xml:space="preserve" w:dirty="true"> REF persistence \h</w:instrText>
        </w:r>
        <w:r xmlns:w14="http://schemas.microsoft.com/office/word/2010/wordml">
          <w:rPr/>
          <w:fldChar w:fldCharType="end" w:dirty="true"/>
        </w:r>
      </w:hyperlink>
      <w:r>
        <w:t xml:space="preserve">).</w:t>
      </w:r>
    </w:p>
    <w:bookmarkEnd w:id="27"/>
    <w:bookmarkStart w:id="28" w:name="Xa85e6698163604863c837f6d3de6643bb1017cb"/>
    <w:p>
      <w:pPr>
        <w:pStyle w:val="berschrift2"/>
      </w:pPr>
      <w:r>
        <w:t xml:space="preserve">Hay meadows on north exposition closer to reference</w:t>
      </w:r>
    </w:p>
    <w:p>
      <w:pPr>
        <w:pStyle w:val="FirstParagraph"/>
      </w:pPr>
      <w:r>
        <w:t xml:space="preserve">The ordination visualizes the species composition of seed mixtures and the development of the plots over time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 The NMDS confirmed that the seed mixtures were variable, but distinctive for hay meadows and dry grasslands and ascertained the intended direction of the vegetation development. One exception was that the development of hay meadows in south exposition did not develop towards its seed-mixture compositions.</w:t>
      </w:r>
    </w:p>
    <w:p>
      <w:pPr>
        <w:pStyle w:val="Textkrper"/>
      </w:pPr>
      <w:r>
        <w:t xml:space="preserve">The ordination presents the experimental plots also in context with reference sites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 The reference sites had a larger variation than the seed mixtures and were close to the seed mixtures but hardly overlapped. The positions of the reference sites were shifted to the left in comparison to the seed mixtures, which means in the direction of early successional states. Nonetheless, they still differed from the negative references of ruderal vegetation. Negative references were only available on the south exposition and they were located in the NMDS between the positive reference sites and the state of restored plots in 2021. Hay meadow-seed mixtures led to a closer development to hay meadow references than dry grasslands to their references (Figure</w:t>
      </w:r>
      <w:r>
        <w:t xml:space="preserve"> </w:t>
      </w:r>
      <w:hyperlink w:anchor="effects">
        <w:r xmlns:w14="http://schemas.microsoft.com/office/word/2010/wordml">
          <w:rPr/>
          <w:fldChar w:fldCharType="begin" w:dirty="true"/>
        </w:r>
        <w:r xmlns:w14="http://schemas.microsoft.com/office/word/2010/wordml">
          <w:rPr/>
          <w:instrText xml:space="preserve" w:dirty="true"> REF effects \h</w:instrText>
        </w:r>
        <w:r xmlns:w14="http://schemas.microsoft.com/office/word/2010/wordml">
          <w:rPr/>
          <w:fldChar w:fldCharType="end" w:dirty="true"/>
        </w:r>
      </w:hyperlink>
      <w:r>
        <w:t xml:space="preserve">,</w:t>
      </w:r>
      <w:r>
        <w:t xml:space="preserve"> </w:t>
      </w:r>
      <w:hyperlink w:anchor="recovery">
        <w:r xmlns:w14="http://schemas.microsoft.com/office/word/2010/wordml">
          <w:rPr/>
          <w:fldChar w:fldCharType="begin" w:dirty="true"/>
        </w:r>
        <w:r xmlns:w14="http://schemas.microsoft.com/office/word/2010/wordml">
          <w:rPr/>
          <w:instrText xml:space="preserve" w:dirty="true"> REF recovery \h</w:instrText>
        </w:r>
        <w:r xmlns:w14="http://schemas.microsoft.com/office/word/2010/wordml">
          <w:rPr/>
          <w:fldChar w:fldCharType="end" w:dirty="true"/>
        </w:r>
      </w:hyperlink>
      <w:r>
        <w:t xml:space="preserve">) this was especially the case on the north exposition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w:t>
      </w:r>
      <w:r>
        <w:t xml:space="preserve"> </w:t>
      </w:r>
    </w:p>
    <w:bookmarkEnd w:id="28"/>
    <w:bookmarkEnd w:id="29"/>
    <w:bookmarkStart w:id="33" w:name="discussion"/>
    <w:p>
      <w:pPr>
        <w:pStyle w:val="berschrift1"/>
      </w:pPr>
      <w:r>
        <w:t xml:space="preserve">Discussion</w:t>
      </w:r>
    </w:p>
    <w:p>
      <w:pPr>
        <w:pStyle w:val="FirstParagraph"/>
      </w:pPr>
      <w:r>
        <w:t xml:space="preserve">The vegetation of the dike experiment developed in the desired direction, but with a decelerating recovery rate. On the south exposition, a significant worse effect during establishment phase remained over the complete observation period. All in all, it was hardly possible to identify a best seed–substrate combination, although the hay meadows developed closer to their reference on the north exposition than the dry grasslands.</w:t>
      </w:r>
    </w:p>
    <w:bookmarkStart w:id="30" w:name="X94c14f719fb54096257a12f0b563a6c71f31b6f"/>
    <w:p>
      <w:pPr>
        <w:pStyle w:val="berschrift2"/>
      </w:pPr>
      <w:r>
        <w:t xml:space="preserve">General effects of treatments and exposition</w:t>
      </w:r>
    </w:p>
    <w:p>
      <w:pPr>
        <w:pStyle w:val="FirstParagraph"/>
      </w:pPr>
      <w:r>
        <w:t xml:space="preserve">Restoration on agricultural soils can have limited success due to high nutrient loads</w:t>
      </w:r>
      <w:r>
        <w:t xml:space="preserve"> </w:t>
      </w:r>
      <w:r>
        <w:t xml:space="preserve">(Walker et al., 2004)</w:t>
      </w:r>
      <w:r>
        <w:t xml:space="preserve"> </w:t>
      </w:r>
      <w:r>
        <w:t xml:space="preserve">but mixing with a mineral component need not necessarily improve the outcome</w:t>
      </w:r>
      <w:r>
        <w:t xml:space="preserve"> </w:t>
      </w:r>
      <w:r>
        <w:t xml:space="preserve">(Chenot-Lescure et al., 2022)</w:t>
      </w:r>
      <w:r>
        <w:t xml:space="preserve">. Similarly to that study in France, sand admixture reduced nutrient loads and led to higher persistence of sown species while a 50% admixture did not further increase the effect. In addition, the effect only appeared in north exposition and the effect size of about 6% in the fourth year after restoration was rather small. The Favourable Conservation Status (FCS) was hardly affected by the sand admixture, which corresponds to the experiment in a quarry</w:t>
      </w:r>
      <w:r>
        <w:t xml:space="preserve"> </w:t>
      </w:r>
      <w:r>
        <w:t xml:space="preserve">(Chenot-Lescure et al., 2022)</w:t>
      </w:r>
      <w:r>
        <w:t xml:space="preserve">. Substrate depth did not significantly affect persistence or FCS, similarly to earlier studies</w:t>
      </w:r>
      <w:r>
        <w:t xml:space="preserve"> </w:t>
      </w:r>
      <w:r>
        <w:t xml:space="preserve">(Baer et al., 2004)</w:t>
      </w:r>
      <w:r>
        <w:t xml:space="preserve">. Larger differences in soil depths might be necessary to observe negative effects by thicker substrate layers as was shown for prairies</w:t>
      </w:r>
      <w:r>
        <w:t xml:space="preserve"> </w:t>
      </w:r>
      <w:r>
        <w:t xml:space="preserve">(Dornbush &amp; Wilsey, 2010)</w:t>
      </w:r>
      <w:r>
        <w:t xml:space="preserve">. Neither, seed density had an effect on persistence and FCS which fits the results of</w:t>
      </w:r>
      <w:r>
        <w:t xml:space="preserve"> </w:t>
      </w:r>
      <w:r>
        <w:t xml:space="preserve">Kaulfuß et al. (2022)</w:t>
      </w:r>
      <w:r>
        <w:t xml:space="preserve">, who found out that a certain amount of seeds are necessary for a successful establishment of target species but higher densities do not further improve the result and have rather a slight negative effect.</w:t>
      </w:r>
    </w:p>
    <w:p>
      <w:pPr>
        <w:pStyle w:val="Textkrper"/>
      </w:pPr>
      <w:r>
        <w:t xml:space="preserve">The vegetation in south exposition had a different species composition, which confirms the findings of</w:t>
      </w:r>
      <w:r>
        <w:t xml:space="preserve"> </w:t>
      </w:r>
      <w:r>
        <w:t xml:space="preserve">Bátori et al. (2016)</w:t>
      </w:r>
      <w:r>
        <w:t xml:space="preserve"> </w:t>
      </w:r>
      <w:r>
        <w:t xml:space="preserve">in Hungary. Here, the differences might have some unwanted experimental reasons: the geotextile, which had been implemented on the southern slope, was removed after two weeks. This led to the drying of many seedlings which was amplified by the intense drought of 2018 and 2019</w:t>
      </w:r>
      <w:r>
        <w:t xml:space="preserve"> </w:t>
      </w:r>
      <w:r>
        <w:t xml:space="preserve">(Hari et al., 2020)</w:t>
      </w:r>
      <w:r>
        <w:t xml:space="preserve">. This drought could have decreased germination and the establishment of sown species, also generally speaking, because a moist spring with a mesic temperature improves establishment</w:t>
      </w:r>
      <w:r>
        <w:t xml:space="preserve"> </w:t>
      </w:r>
      <w:r>
        <w:t xml:space="preserve">(Larson et al., 2021; Orrock et al., 2023)</w:t>
      </w:r>
      <w:r>
        <w:t xml:space="preserve">. The interesting point here is the lasting negative effect on persistence and FCS which suggests a legacy effect by adverse weather conditions after sowing as it was observed by other studies</w:t>
      </w:r>
      <w:r>
        <w:t xml:space="preserve"> </w:t>
      </w:r>
      <w:r>
        <w:t xml:space="preserve">(Groves et al., 2020; Stuble et al., 2017)</w:t>
      </w:r>
      <w:r>
        <w:t xml:space="preserve">. The problems during the establishment phase might have led to an alternative trajectory</w:t>
      </w:r>
      <w:r>
        <w:t xml:space="preserve"> </w:t>
      </w:r>
      <w:r>
        <w:t xml:space="preserve">(Suding et al., 2004)</w:t>
      </w:r>
      <w:r>
        <w:t xml:space="preserve"> </w:t>
      </w:r>
      <w:r>
        <w:t xml:space="preserve">and could probably only be met by re-sowing. The drying of seedlings might also have levelled the distinction of the seed mixture types on the south exposition.</w:t>
      </w:r>
    </w:p>
    <w:bookmarkEnd w:id="30"/>
    <w:bookmarkStart w:id="31" w:name="X180344c9ed0ca97fd49d31a1851d43177505ea0"/>
    <w:p>
      <w:pPr>
        <w:pStyle w:val="berschrift2"/>
      </w:pPr>
      <w:r>
        <w:t xml:space="preserve">No interaction effect of seed–substrate combinations</w:t>
      </w:r>
    </w:p>
    <w:p>
      <w:pPr>
        <w:pStyle w:val="FirstParagraph"/>
      </w:pPr>
      <w:r>
        <w:t xml:space="preserve">Our aim was to identify the best seed–substrate combination regarding restoration effectiveness and biodiversity. For evaluating effectiveness, we measured the persistence of the sown species and for fostering plant biodiversity in general, we measured the FCS. However, we could not identify an interaction effect for neither one of the indices. We would have expected a better performance of hay-meadow seed mixtures with lower sand admixture and for dry grasslands with higher sand admixture. Our results suggest that, at least after four years, the substrate conditions are within the range of both seed mixture types (hay meadows, dry grasslands). Although, both types are clearly plant-sociologically and functionally distinct, they are still relatively closely related because they contain shared species and could develop on similar site conditions with modified sub-associations</w:t>
      </w:r>
      <w:r>
        <w:t xml:space="preserve"> </w:t>
      </w:r>
      <w:r>
        <w:t xml:space="preserve">(Appendix A3, Husicka, 2003; Oberdorfer, 1993)</w:t>
      </w:r>
      <w:r>
        <w:t xml:space="preserve">. Other grassland studies could identify more or less clear interactions of opposing habitat preferences or functional traits along the gradients of productivity, moisture, and nutrients</w:t>
      </w:r>
      <w:r>
        <w:t xml:space="preserve"> </w:t>
      </w:r>
      <w:r>
        <w:t xml:space="preserve">(Freitag et al., 2021; Kaulfuß et al., 2022; Zirbel &amp; Brudvig, 2020)</w:t>
      </w:r>
      <w:r>
        <w:t xml:space="preserve">. However, these studies did not work with an experimental set up of different seed–substrate combinations, but analysed the result of habitat and biotic filtering after one, five and about 15 years, respectively. Furthermore, the non-existence of an ideal combination could be explained by priority effects which means that the species of the non-perfect seed mixture could establish earlier and pre-empted the available niches for the species of related habitat types</w:t>
      </w:r>
      <w:r>
        <w:t xml:space="preserve"> </w:t>
      </w:r>
      <w:r>
        <w:t xml:space="preserve">(Fukami, 2015)</w:t>
      </w:r>
      <w:r>
        <w:t xml:space="preserve">.</w:t>
      </w:r>
    </w:p>
    <w:bookmarkEnd w:id="31"/>
    <w:bookmarkStart w:id="32" w:name="Xf6aafa9a7a9443e30156a6f72da038f47411805"/>
    <w:p>
      <w:pPr>
        <w:pStyle w:val="berschrift2"/>
      </w:pPr>
      <w:r>
        <w:t xml:space="preserve">The success of the restoration approaches</w:t>
      </w:r>
    </w:p>
    <w:p>
      <w:pPr>
        <w:pStyle w:val="FirstParagraph"/>
      </w:pPr>
      <w:r>
        <w:t xml:space="preserve">The seed mixtures and positive reference sites were similar but hardly overlapped (Figure</w:t>
      </w:r>
      <w:r>
        <w:t xml:space="preserve"> </w:t>
      </w:r>
      <w:hyperlink w:anchor="nmds">
        <w:r xmlns:w14="http://schemas.microsoft.com/office/word/2010/wordml">
          <w:rPr/>
          <w:fldChar w:fldCharType="begin" w:dirty="true"/>
        </w:r>
        <w:r xmlns:w14="http://schemas.microsoft.com/office/word/2010/wordml">
          <w:rPr/>
          <w:instrText xml:space="preserve" w:dirty="true"> REF nmds \h</w:instrText>
        </w:r>
        <w:r xmlns:w14="http://schemas.microsoft.com/office/word/2010/wordml">
          <w:rPr/>
          <w:fldChar w:fldCharType="end" w:dirty="true"/>
        </w:r>
      </w:hyperlink>
      <w:r>
        <w:t xml:space="preserve">). The position on the NMDS suggests that the seed mixture represents a later successional stage than the references. The NMDS shows a slightly better adaptation of hay meadows to the north exposition than of dry grasslands (Figure</w:t>
      </w:r>
      <w:r>
        <w:t xml:space="preserve"> </w:t>
      </w:r>
      <w:hyperlink w:anchor="recovery">
        <w:r xmlns:w14="http://schemas.microsoft.com/office/word/2010/wordml">
          <w:rPr/>
          <w:fldChar w:fldCharType="begin" w:dirty="true"/>
        </w:r>
        <w:r xmlns:w14="http://schemas.microsoft.com/office/word/2010/wordml">
          <w:rPr/>
          <w:instrText xml:space="preserve" w:dirty="true"> REF recovery \h</w:instrText>
        </w:r>
        <w:r xmlns:w14="http://schemas.microsoft.com/office/word/2010/wordml">
          <w:rPr/>
          <w:fldChar w:fldCharType="end" w:dirty="true"/>
        </w:r>
      </w:hyperlink>
      <w:r>
        <w:t xml:space="preserve">). This can be expected from the requirements of hay meadows for mesic conditions which can be provided on north-exposed dike slopes</w:t>
      </w:r>
      <w:r>
        <w:t xml:space="preserve"> </w:t>
      </w:r>
      <w:r>
        <w:t xml:space="preserve">(Bátori et al., 2020; Oberdorfer, 1993)</w:t>
      </w:r>
      <w:r>
        <w:t xml:space="preserve">. On the southern exposition, the plots of hay meadows developed rather to dry grassland references which indicates an inefficient restoration by using an non-adapted seed mixture.</w:t>
      </w:r>
    </w:p>
    <w:p>
      <w:pPr>
        <w:pStyle w:val="Textkrper"/>
      </w:pPr>
      <w:r>
        <w:t xml:space="preserve">The vegetation developed generally in the desired direction but was still distinct from positive references and seed mixtures after four years. In the south exposition, the plots were rather similar to the negative reference of dry, ruderal vegetation. The gap between goal and restoration outcome was also shown for other sowing experiments or restorations</w:t>
      </w:r>
      <w:r>
        <w:t xml:space="preserve"> </w:t>
      </w:r>
      <w:r>
        <w:t xml:space="preserve">(Engst et al., 2016; Kaulfuß et al., 2022; Mitchley et al., 2012)</w:t>
      </w:r>
      <w:r>
        <w:t xml:space="preserve"> </w:t>
      </w:r>
      <w:r>
        <w:t xml:space="preserve">or for dike vegetation compared with semi-natural references</w:t>
      </w:r>
      <w:r>
        <w:t xml:space="preserve"> </w:t>
      </w:r>
      <w:r>
        <w:t xml:space="preserve">(Bátori et al., 2016)</w:t>
      </w:r>
      <w:r>
        <w:t xml:space="preserve">. This result is not surprising since the</w:t>
      </w:r>
      <w:r>
        <w:t xml:space="preserve"> </w:t>
      </w:r>
      <w:r>
        <w:t xml:space="preserve">‘</w:t>
      </w:r>
      <w:r>
        <w:t xml:space="preserve">recovery debt</w:t>
      </w:r>
      <w:r>
        <w:t xml:space="preserve">’</w:t>
      </w:r>
      <w:r>
        <w:t xml:space="preserve"> </w:t>
      </w:r>
      <w:r>
        <w:t xml:space="preserve">is a general phenomenon of grassland restoration</w:t>
      </w:r>
      <w:r>
        <w:t xml:space="preserve"> </w:t>
      </w:r>
      <w:r>
        <w:t xml:space="preserve">(Jones et al., 2018; Moreno-Mateos et al., 2017)</w:t>
      </w:r>
      <w:r>
        <w:t xml:space="preserve">.</w:t>
      </w:r>
    </w:p>
    <w:p>
      <w:r>
        <w:br w:type="page"/>
      </w:r>
    </w:p>
    <w:bookmarkEnd w:id="32"/>
    <w:bookmarkEnd w:id="33"/>
    <w:bookmarkStart w:id="34" w:name="conclusions"/>
    <w:p>
      <w:pPr>
        <w:pStyle w:val="berschrift1"/>
      </w:pPr>
      <w:r>
        <w:t xml:space="preserve">Conclusions</w:t>
      </w:r>
    </w:p>
    <w:p>
      <w:pPr>
        <w:pStyle w:val="FirstParagraph"/>
      </w:pPr>
      <w:r>
        <w:t xml:space="preserve">Our results suggest that adapted seed mixtures can increase restoration efficiency by sowing hay meadows in the north but not in the south exposition of dikes. Furthermore, to reduce nutrient load by sand admixture has a clear positive effect, even if the effect is small. The question which remains is if sand admixture is the most economical restoration measure to promote diversity on dikes. It does not seem necessary to increase seed density on the dike slopes, and soil depths of 30 cm are not adverse compared to 15 cm thick substrates. There was no perfect seed–substrate combination and thus we conclude that a variation of seed mixture types and different substrates along restoration sections would promote biodiversity better than a single uniform solution</w:t>
      </w:r>
      <w:r>
        <w:t xml:space="preserve"> </w:t>
      </w:r>
      <w:r>
        <w:t xml:space="preserve">(Bauer et al., 2023; Holl et al., 2022)</w:t>
      </w:r>
      <w:r>
        <w:t xml:space="preserve">. The strong and lasting negative effects of the drought might require a re-sowing. To close the recovery debt, the management adaptation might be promising since it is a crucial factor aside from the restoration approach and the site characteristics</w:t>
      </w:r>
      <w:r>
        <w:t xml:space="preserve"> </w:t>
      </w:r>
      <w:r>
        <w:t xml:space="preserve">(Grman et al., 2013; Tölgyesi et al., 2021)</w:t>
      </w:r>
      <w:r>
        <w:t xml:space="preserve">. For example, starting the already existing sheep grazing on the experimental sites will modify the disturbance regime and improve dispersal. All in all, our results support the finding that restored dike grasslands can promote biodiversity in agricultural landscapes</w:t>
      </w:r>
      <w:r>
        <w:t xml:space="preserve"> </w:t>
      </w:r>
      <w:r>
        <w:t xml:space="preserve">(Bátori et al., 2020)</w:t>
      </w:r>
      <w:r>
        <w:t xml:space="preserve">. However, the recovery debt highlights the fact that restored grasslands cannot substitute old-growth grasslands</w:t>
      </w:r>
      <w:r>
        <w:t xml:space="preserve"> </w:t>
      </w:r>
      <w:r>
        <w:t xml:space="preserve">(Buisson et al., 2022; Nerlekar &amp; Veldman, 2020)</w:t>
      </w:r>
      <w:r>
        <w:t xml:space="preserve">.</w:t>
      </w:r>
    </w:p>
    <w:p>
      <w:r>
        <w:br w:type="page"/>
      </w:r>
    </w:p>
    <w:bookmarkEnd w:id="34"/>
    <w:bookmarkStart w:id="35" w:name="acknowledgements"/>
    <w:p>
      <w:pPr>
        <w:pStyle w:val="berschrift1"/>
      </w:pPr>
      <w:r>
        <w:t xml:space="preserve">Acknowledgements</w:t>
      </w:r>
    </w:p>
    <w:p>
      <w:pPr>
        <w:pStyle w:val="FirstParagraph"/>
      </w:pPr>
      <w:r>
        <w:t xml:space="preserve">We would like to thank our project partners Dr. Markus Fischer, Frank Schuster, and Christoph Schwahn (WIGES GmbH) as well as Klaus Rachl and Stefan Radlmair (Lower Bavaria Government) for numerous discussions on restoration and management of dike grasslands. Field work was supported by Clemens Berger and Uwe Kleber-Lerchbaumer (Wasserwirtschaftsamt Deggendorf). We thank Holger Paetsch, Simon Reith, Anna Ritter, Jakob Strak, Leonardo H. Teixeira, and Linda Weggler for assisting with the field surveys or soil analyses in 2018–2020. The German Federal Environmental Foundation (DBU) supported MB with a doctoral scholarship.</w:t>
      </w:r>
    </w:p>
    <w:bookmarkEnd w:id="35"/>
    <w:bookmarkStart w:id="36" w:name="author-contribution"/>
    <w:p>
      <w:pPr>
        <w:pStyle w:val="berschrift1"/>
      </w:pPr>
      <w:r>
        <w:t xml:space="preserve">Author contribution</w:t>
      </w:r>
    </w:p>
    <w:p>
      <w:pPr>
        <w:pStyle w:val="FirstParagraph"/>
      </w:pPr>
      <w:r>
        <w:t xml:space="preserve">JH and JK designed the experiment. JH did the surveys in the years 2018–2020 and MB in 2019 and 2021. MB did the analyses and wrote the manuscript. JK and JH critically revised the manuscript.</w:t>
      </w:r>
    </w:p>
    <w:bookmarkEnd w:id="36"/>
    <w:bookmarkStart w:id="38" w:name="sec-open-research"/>
    <w:p>
      <w:pPr>
        <w:pStyle w:val="berschrift1"/>
      </w:pPr>
      <w:r>
        <w:t xml:space="preserve">Open research</w:t>
      </w:r>
    </w:p>
    <w:p>
      <w:pPr>
        <w:pStyle w:val="FirstParagraph"/>
      </w:pPr>
      <w:r>
        <w:t xml:space="preserve">Data and code are stored on Zenodo (Bauer et al. 2023)</w:t>
      </w:r>
      <w:r>
        <w:t xml:space="preserve"> </w:t>
      </w:r>
      <w:r>
        <w:t xml:space="preserve">Model evaluation is stored on GitHub:</w:t>
      </w:r>
      <w:r>
        <w:t xml:space="preserve"> </w:t>
      </w:r>
      <w:hyperlink r:id="rId37">
        <w:r>
          <w:rPr>
            <w:rStyle w:val="Hyperlink"/>
          </w:rPr>
          <w:t xml:space="preserve">https://github.com/markus1bauer/2023_danube_dike_experiment/tree/main/markdown</w:t>
        </w:r>
      </w:hyperlink>
    </w:p>
    <w:bookmarkEnd w:id="38"/>
    <w:bookmarkStart w:id="39" w:name="funding"/>
    <w:p>
      <w:pPr>
        <w:pStyle w:val="berschrift1"/>
      </w:pPr>
      <w:r>
        <w:t xml:space="preserve">Funding</w:t>
      </w:r>
    </w:p>
    <w:p>
      <w:pPr>
        <w:pStyle w:val="FirstParagraph"/>
      </w:pPr>
      <w:r>
        <w:t xml:space="preserve">MB was funded by a doctoral scholarship of the German Federal Environmental Foundation (DBU) (No. 20021/698). The establishment of the experiment and the vegetation surveys were financed by the WIGES GmbH in the years 2018–2020 (No. 80 002 312).</w:t>
      </w:r>
    </w:p>
    <w:p>
      <w:r>
        <w:br w:type="page"/>
      </w:r>
    </w:p>
    <w:bookmarkEnd w:id="39"/>
    <w:bookmarkStart w:id="192" w:name="references"/>
    <w:p>
      <w:pPr>
        <w:pStyle w:val="berschrift1"/>
      </w:pPr>
      <w:r>
        <w:t xml:space="preserve">References</w:t>
      </w:r>
    </w:p>
    <w:bookmarkStart w:id="191" w:name="refs"/>
    <w:bookmarkStart w:id="41" w:name="ref-baer2004"/>
    <w:p>
      <w:pPr>
        <w:pStyle w:val="Literaturverzeichnis"/>
      </w:pPr>
      <w:r>
        <w:t xml:space="preserve">Baer, S. G., Blair, J. M., Collins, S. L., &amp; Knapp, A. K. (2004). Plant community responses to resource availability and heterogeneity during restoration.</w:t>
      </w:r>
      <w:r>
        <w:t xml:space="preserve"> </w:t>
      </w:r>
      <w:r>
        <w:rPr>
          <w:iCs/>
          <w:i/>
        </w:rPr>
        <w:t xml:space="preserve">Oecologia</w:t>
      </w:r>
      <w:r>
        <w:t xml:space="preserve">,</w:t>
      </w:r>
      <w:r>
        <w:t xml:space="preserve"> </w:t>
      </w:r>
      <w:r>
        <w:rPr>
          <w:iCs/>
          <w:i/>
        </w:rPr>
        <w:t xml:space="preserve">139</w:t>
      </w:r>
      <w:r>
        <w:t xml:space="preserve">, 617–629.</w:t>
      </w:r>
      <w:r>
        <w:t xml:space="preserve"> </w:t>
      </w:r>
      <w:hyperlink r:id="rId40">
        <w:r>
          <w:rPr>
            <w:rStyle w:val="Hyperlink"/>
          </w:rPr>
          <w:t xml:space="preserve">https://doi.org/10.1007/s00442-004-1541-3</w:t>
        </w:r>
      </w:hyperlink>
    </w:p>
    <w:bookmarkEnd w:id="41"/>
    <w:bookmarkStart w:id="43" w:name="ref-Balazs.2020"/>
    <w:p>
      <w:pPr>
        <w:pStyle w:val="Literaturverzeichnis"/>
      </w:pPr>
      <w:r>
        <w:t xml:space="preserve">Balazs, K. R., Kramer, A. T., Munson, S. M., Talkington, N., Still, S., &amp; Butterfield, B. J. (2020). The right trait in the right place at the right time: Matching traits to environment improves restoration outcomes.</w:t>
      </w:r>
      <w:r>
        <w:t xml:space="preserve"> </w:t>
      </w:r>
      <w:r>
        <w:rPr>
          <w:iCs/>
          <w:i/>
        </w:rPr>
        <w:t xml:space="preserve">Ecological Applications</w:t>
      </w:r>
      <w:r>
        <w:t xml:space="preserve">,</w:t>
      </w:r>
      <w:r>
        <w:t xml:space="preserve"> </w:t>
      </w:r>
      <w:r>
        <w:rPr>
          <w:iCs/>
          <w:i/>
        </w:rPr>
        <w:t xml:space="preserve">30</w:t>
      </w:r>
      <w:r>
        <w:t xml:space="preserve">, e02110.</w:t>
      </w:r>
      <w:r>
        <w:t xml:space="preserve"> </w:t>
      </w:r>
      <w:hyperlink r:id="rId42">
        <w:r>
          <w:rPr>
            <w:rStyle w:val="Hyperlink"/>
          </w:rPr>
          <w:t xml:space="preserve">https://doi.org/10.1002/eap.2110</w:t>
        </w:r>
      </w:hyperlink>
    </w:p>
    <w:bookmarkEnd w:id="43"/>
    <w:bookmarkStart w:id="45" w:name="ref-Bardgett.2021"/>
    <w:p>
      <w:pPr>
        <w:pStyle w:val="Literaturverzeichnis"/>
      </w:pPr>
      <w:r>
        <w:t xml:space="preserve">Bardgett, R. D., Bullock, J. M., Lavorel, S., Manning, P., Schaffner, U., Ostle, N., Chomel, M., Durigan, G., Fry, E. L., Johnson, D., Lavallee, J. M., Le Provost, G., Luo, S., Png, K., Sankaran, M., Hou, X., Zhou, H., Ma, L., Ren, W., … Shi, H. (2021). Combatting global grassland degradation.</w:t>
      </w:r>
      <w:r>
        <w:t xml:space="preserve"> </w:t>
      </w:r>
      <w:r>
        <w:rPr>
          <w:iCs/>
          <w:i/>
        </w:rPr>
        <w:t xml:space="preserve">Nature Reviews Earth &amp; Environment</w:t>
      </w:r>
      <w:r>
        <w:t xml:space="preserve">,</w:t>
      </w:r>
      <w:r>
        <w:t xml:space="preserve"> </w:t>
      </w:r>
      <w:r>
        <w:rPr>
          <w:iCs/>
          <w:i/>
        </w:rPr>
        <w:t xml:space="preserve">2</w:t>
      </w:r>
      <w:r>
        <w:t xml:space="preserve">, 720–735.</w:t>
      </w:r>
      <w:r>
        <w:t xml:space="preserve"> </w:t>
      </w:r>
      <w:hyperlink r:id="rId44">
        <w:r>
          <w:rPr>
            <w:rStyle w:val="Hyperlink"/>
          </w:rPr>
          <w:t xml:space="preserve">https://doi.org/10.1038/s43017-021-00207-2</w:t>
        </w:r>
      </w:hyperlink>
    </w:p>
    <w:bookmarkEnd w:id="45"/>
    <w:bookmarkStart w:id="47" w:name="ref-Batori.2020"/>
    <w:p>
      <w:pPr>
        <w:pStyle w:val="Literaturverzeichnis"/>
      </w:pPr>
      <w:r>
        <w:t xml:space="preserve">Bátori, Z., Kiss, P. J., Tölgyesi, C., Deák, B., Valkó, O., Török, P., Erdős, L., Tóthmérész, B., &amp; Kelemen, A. (2020). River embankments mitigate the loss of grassland biodiversity in agricultural landscapes.</w:t>
      </w:r>
      <w:r>
        <w:t xml:space="preserve"> </w:t>
      </w:r>
      <w:r>
        <w:rPr>
          <w:iCs/>
          <w:i/>
        </w:rPr>
        <w:t xml:space="preserve">River Research and Applications</w:t>
      </w:r>
      <w:r>
        <w:t xml:space="preserve">,</w:t>
      </w:r>
      <w:r>
        <w:t xml:space="preserve"> </w:t>
      </w:r>
      <w:r>
        <w:rPr>
          <w:iCs/>
          <w:i/>
        </w:rPr>
        <w:t xml:space="preserve">36</w:t>
      </w:r>
      <w:r>
        <w:t xml:space="preserve">, 1160–1170.</w:t>
      </w:r>
      <w:r>
        <w:t xml:space="preserve"> </w:t>
      </w:r>
      <w:hyperlink r:id="rId46">
        <w:r>
          <w:rPr>
            <w:rStyle w:val="Hyperlink"/>
          </w:rPr>
          <w:t xml:space="preserve">https://doi.org/10.1002/rra.3643</w:t>
        </w:r>
      </w:hyperlink>
    </w:p>
    <w:bookmarkEnd w:id="47"/>
    <w:bookmarkStart w:id="49" w:name="ref-Batori.2016"/>
    <w:p>
      <w:pPr>
        <w:pStyle w:val="Literaturverzeichnis"/>
      </w:pPr>
      <w:r>
        <w:t xml:space="preserve">Bátori, Z., Körmöczi, L., Zalatnai, M., Erdős, L., Ódor, P., Tölgyesi, C., Margóczi, K., Torma, A., Gallé, R., Cseh, V., &amp; Török, P. (2016). River dikes in agricultural landscapes: The importance of secondary habitats in maintaining landscape-scale diversity.</w:t>
      </w:r>
      <w:r>
        <w:t xml:space="preserve"> </w:t>
      </w:r>
      <w:r>
        <w:rPr>
          <w:iCs/>
          <w:i/>
        </w:rPr>
        <w:t xml:space="preserve">Wetlands</w:t>
      </w:r>
      <w:r>
        <w:t xml:space="preserve">,</w:t>
      </w:r>
      <w:r>
        <w:t xml:space="preserve"> </w:t>
      </w:r>
      <w:r>
        <w:rPr>
          <w:iCs/>
          <w:i/>
        </w:rPr>
        <w:t xml:space="preserve">36</w:t>
      </w:r>
      <w:r>
        <w:t xml:space="preserve">, 251–264.</w:t>
      </w:r>
      <w:r>
        <w:t xml:space="preserve"> </w:t>
      </w:r>
      <w:hyperlink r:id="rId48">
        <w:r>
          <w:rPr>
            <w:rStyle w:val="Hyperlink"/>
          </w:rPr>
          <w:t xml:space="preserve">https://doi.org/10.1007/s13157-016-0734-y</w:t>
        </w:r>
      </w:hyperlink>
    </w:p>
    <w:bookmarkEnd w:id="49"/>
    <w:bookmarkStart w:id="51" w:name="ref-bauer2023"/>
    <w:p>
      <w:pPr>
        <w:pStyle w:val="Literaturverzeichnis"/>
      </w:pPr>
      <w:r>
        <w:t xml:space="preserve">Bauer, M., Huber, J., &amp; Kollmann, J. (2023). Beta diversity of restored river dike grasslands is strongly influenced by uncontrolled spatio-temporal variability.</w:t>
      </w:r>
      <w:r>
        <w:t xml:space="preserve"> </w:t>
      </w:r>
      <w:r>
        <w:rPr>
          <w:iCs/>
          <w:i/>
        </w:rPr>
        <w:t xml:space="preserve">EcoEvoRxiv</w:t>
      </w:r>
      <w:r>
        <w:t xml:space="preserve">.</w:t>
      </w:r>
      <w:r>
        <w:t xml:space="preserve"> </w:t>
      </w:r>
      <w:hyperlink r:id="rId50">
        <w:r>
          <w:rPr>
            <w:rStyle w:val="Hyperlink"/>
          </w:rPr>
          <w:t xml:space="preserve">http://dx.doi.org/10.32942/X2959J</w:t>
        </w:r>
      </w:hyperlink>
    </w:p>
    <w:bookmarkEnd w:id="51"/>
    <w:bookmarkStart w:id="53" w:name="ref-Bauer.2022"/>
    <w:p>
      <w:pPr>
        <w:pStyle w:val="Literaturverzeichnis"/>
      </w:pPr>
      <w:r>
        <w:t xml:space="preserve">Bauer, M., Krause, M., Heizinger, V., &amp; Kollmann, J. (2022). Using crushed waste bricks for urban greening with contrasting grassland mixtures: No negative effects of brick-augmented substrates varying in soil type, moisture and acid pre-treatment.</w:t>
      </w:r>
      <w:r>
        <w:t xml:space="preserve"> </w:t>
      </w:r>
      <w:r>
        <w:rPr>
          <w:iCs/>
          <w:i/>
        </w:rPr>
        <w:t xml:space="preserve">Urban Ecosystems</w:t>
      </w:r>
      <w:r>
        <w:t xml:space="preserve">,</w:t>
      </w:r>
      <w:r>
        <w:t xml:space="preserve"> </w:t>
      </w:r>
      <w:r>
        <w:rPr>
          <w:iCs/>
          <w:i/>
        </w:rPr>
        <w:t xml:space="preserve">25</w:t>
      </w:r>
      <w:r>
        <w:t xml:space="preserve">, 1369–1378.</w:t>
      </w:r>
      <w:r>
        <w:t xml:space="preserve"> </w:t>
      </w:r>
      <w:hyperlink r:id="rId52">
        <w:r>
          <w:rPr>
            <w:rStyle w:val="Hyperlink"/>
          </w:rPr>
          <w:t xml:space="preserve">https://doi.org/10.1007/s11252-022-01230-x</w:t>
        </w:r>
      </w:hyperlink>
    </w:p>
    <w:bookmarkEnd w:id="53"/>
    <w:bookmarkStart w:id="55" w:name="ref-bayerischevermessungsverwaltung2023"/>
    <w:p>
      <w:pPr>
        <w:pStyle w:val="Literaturverzeichnis"/>
      </w:pPr>
      <w:r>
        <w:t xml:space="preserve">Bayerische Vermessungsverwaltung. (2023).</w:t>
      </w:r>
      <w:r>
        <w:t xml:space="preserve"> </w:t>
      </w:r>
      <w:r>
        <w:rPr>
          <w:iCs/>
          <w:i/>
        </w:rPr>
        <w:t xml:space="preserve">BayernAtlas. Open data. Digitales Orthophoto 40cm (DOP40). License CC-BY-4.0</w:t>
      </w:r>
      <w:r>
        <w:t xml:space="preserve">.</w:t>
      </w:r>
      <w:r>
        <w:t xml:space="preserve"> </w:t>
      </w:r>
      <w:hyperlink r:id="rId54">
        <w:r>
          <w:rPr>
            <w:rStyle w:val="Hyperlink"/>
          </w:rPr>
          <w:t xml:space="preserve">https://geodaten.bayern.de/opengeodata/OpenDataDetail.html?pn=dop40</w:t>
        </w:r>
      </w:hyperlink>
    </w:p>
    <w:bookmarkEnd w:id="55"/>
    <w:bookmarkStart w:id="57" w:name="ref-lfl2022"/>
    <w:p>
      <w:pPr>
        <w:pStyle w:val="Literaturverzeichnis"/>
      </w:pPr>
      <w:r>
        <w:t xml:space="preserve">Bayerisches Landesamt für Landwirtschaft (LfL). (2022).</w:t>
      </w:r>
      <w:r>
        <w:t xml:space="preserve"> </w:t>
      </w:r>
      <w:r>
        <w:rPr>
          <w:iCs/>
          <w:i/>
        </w:rPr>
        <w:t xml:space="preserve">Leitfaden für die Düngung von Acker- und Grünland. Gelbes Heft. Stand: 2022</w:t>
      </w:r>
      <w:r>
        <w:t xml:space="preserve">.</w:t>
      </w:r>
      <w:r>
        <w:t xml:space="preserve"> </w:t>
      </w:r>
      <w:hyperlink r:id="rId56">
        <w:r>
          <w:rPr>
            <w:rStyle w:val="Hyperlink"/>
          </w:rPr>
          <w:t xml:space="preserve">https://www.lfl.bayern.de/mam/cms07/publikationen/daten/informationen/2022_08_iab_info_gelbes_heft.pdf</w:t>
        </w:r>
      </w:hyperlink>
    </w:p>
    <w:bookmarkEnd w:id="57"/>
    <w:bookmarkStart w:id="59" w:name="ref-lfu2021discharge"/>
    <w:p>
      <w:pPr>
        <w:pStyle w:val="Literaturverzeichnis"/>
      </w:pPr>
      <w:r>
        <w:t xml:space="preserve">Bayerisches Landesamt für Umwelt. (2021a).</w:t>
      </w:r>
      <w:r>
        <w:t xml:space="preserve"> </w:t>
      </w:r>
      <w:r>
        <w:rPr>
          <w:iCs/>
          <w:i/>
        </w:rPr>
        <w:t xml:space="preserve">Discharge</w:t>
      </w:r>
      <w:r>
        <w:rPr>
          <w:iCs/>
          <w:i/>
        </w:rPr>
        <w:t xml:space="preserve"> </w:t>
      </w:r>
      <w:r>
        <w:rPr>
          <w:iCs/>
          <w:i/>
        </w:rPr>
        <w:t xml:space="preserve">Pfelling / Donau</w:t>
      </w:r>
      <w:r>
        <w:t xml:space="preserve">.</w:t>
      </w:r>
      <w:r>
        <w:t xml:space="preserve"> </w:t>
      </w:r>
      <w:hyperlink r:id="rId58">
        <w:r>
          <w:rPr>
            <w:rStyle w:val="Hyperlink"/>
          </w:rPr>
          <w:t xml:space="preserve">https://www.gkd.bayern.de/en/rivers/discharge/passau/pfelling-10078000/total-period</w:t>
        </w:r>
      </w:hyperlink>
    </w:p>
    <w:bookmarkEnd w:id="59"/>
    <w:bookmarkStart w:id="61" w:name="ref-lfu2021waterlevel"/>
    <w:p>
      <w:pPr>
        <w:pStyle w:val="Literaturverzeichnis"/>
      </w:pPr>
      <w:r>
        <w:t xml:space="preserve">Bayerisches Landesamt für Umwelt. (2021b).</w:t>
      </w:r>
      <w:r>
        <w:t xml:space="preserve"> </w:t>
      </w:r>
      <w:r>
        <w:rPr>
          <w:iCs/>
          <w:i/>
        </w:rPr>
        <w:t xml:space="preserve">Water level</w:t>
      </w:r>
      <w:r>
        <w:rPr>
          <w:iCs/>
          <w:i/>
        </w:rPr>
        <w:t xml:space="preserve"> </w:t>
      </w:r>
      <w:r>
        <w:rPr>
          <w:iCs/>
          <w:i/>
        </w:rPr>
        <w:t xml:space="preserve">Deggendorf / Donau</w:t>
      </w:r>
      <w:r>
        <w:t xml:space="preserve">.</w:t>
      </w:r>
      <w:r>
        <w:t xml:space="preserve"> </w:t>
      </w:r>
      <w:hyperlink r:id="rId60">
        <w:r>
          <w:rPr>
            <w:rStyle w:val="Hyperlink"/>
          </w:rPr>
          <w:t xml:space="preserve">https://www.gkd.bayern.de/en/rivers/waterlevel/passau/deggendorf-10081004/total-period</w:t>
        </w:r>
      </w:hyperlink>
    </w:p>
    <w:bookmarkEnd w:id="61"/>
    <w:bookmarkStart w:id="63" w:name="ref-berendse2015"/>
    <w:p>
      <w:pPr>
        <w:pStyle w:val="Literaturverzeichnis"/>
      </w:pPr>
      <w:r>
        <w:t xml:space="preserve">Berendse, F., Ruijven, J. van, Jongejans, E., &amp; Keesstra, S. (2015). Loss of plant species diversity reduces soil erosion resistance.</w:t>
      </w:r>
      <w:r>
        <w:t xml:space="preserve"> </w:t>
      </w:r>
      <w:r>
        <w:rPr>
          <w:iCs/>
          <w:i/>
        </w:rPr>
        <w:t xml:space="preserve">Ecosystems</w:t>
      </w:r>
      <w:r>
        <w:t xml:space="preserve">,</w:t>
      </w:r>
      <w:r>
        <w:t xml:space="preserve"> </w:t>
      </w:r>
      <w:r>
        <w:rPr>
          <w:iCs/>
          <w:i/>
        </w:rPr>
        <w:t xml:space="preserve">18</w:t>
      </w:r>
      <w:r>
        <w:t xml:space="preserve">, 881–888.</w:t>
      </w:r>
      <w:r>
        <w:t xml:space="preserve"> </w:t>
      </w:r>
      <w:hyperlink r:id="rId62">
        <w:r>
          <w:rPr>
            <w:rStyle w:val="Hyperlink"/>
          </w:rPr>
          <w:t xml:space="preserve">https://doi.org/10.1007/s10021-015-9869-6</w:t>
        </w:r>
      </w:hyperlink>
    </w:p>
    <w:bookmarkEnd w:id="63"/>
    <w:bookmarkStart w:id="65" w:name="ref-BraunBlanquet.1964"/>
    <w:p>
      <w:pPr>
        <w:pStyle w:val="Literaturverzeichnis"/>
      </w:pPr>
      <w:r>
        <w:t xml:space="preserve">Braun-Blanquet, J. (1964).</w:t>
      </w:r>
      <w:r>
        <w:t xml:space="preserve"> </w:t>
      </w:r>
      <w:r>
        <w:rPr>
          <w:iCs/>
          <w:i/>
        </w:rPr>
        <w:t xml:space="preserve">Pflanzensoziologie: Grundzüge der Vegetationskunde</w:t>
      </w:r>
      <w:r>
        <w:t xml:space="preserve"> </w:t>
      </w:r>
      <w:r>
        <w:t xml:space="preserve">(3rd ed.). Springer, Wien–NewYork.</w:t>
      </w:r>
      <w:r>
        <w:t xml:space="preserve"> </w:t>
      </w:r>
      <w:hyperlink r:id="rId64">
        <w:r>
          <w:rPr>
            <w:rStyle w:val="Hyperlink"/>
          </w:rPr>
          <w:t xml:space="preserve">https://doi.org/10.1007/978-3-7091-8110-2</w:t>
        </w:r>
      </w:hyperlink>
    </w:p>
    <w:bookmarkEnd w:id="65"/>
    <w:bookmarkStart w:id="67" w:name="ref-Brudvig.2017b"/>
    <w:p>
      <w:pPr>
        <w:pStyle w:val="Literaturverzeichnis"/>
      </w:pPr>
      <w:r>
        <w:t xml:space="preserve">Brudvig, L. A., Barak, R. S., Bauer, J. T., Caughlin, T. T., Laughlin, D. C., Larios, L., Matthews, J. W., Stuble, K. L., Turley, N. E., &amp; Zirbel, C. R. (2017). Interpreting variation to advance predictive restoration science.</w:t>
      </w:r>
      <w:r>
        <w:t xml:space="preserve"> </w:t>
      </w:r>
      <w:r>
        <w:rPr>
          <w:iCs/>
          <w:i/>
        </w:rPr>
        <w:t xml:space="preserve">Journal of Applied Ecology</w:t>
      </w:r>
      <w:r>
        <w:t xml:space="preserve">,</w:t>
      </w:r>
      <w:r>
        <w:t xml:space="preserve"> </w:t>
      </w:r>
      <w:r>
        <w:rPr>
          <w:iCs/>
          <w:i/>
        </w:rPr>
        <w:t xml:space="preserve">54</w:t>
      </w:r>
      <w:r>
        <w:t xml:space="preserve">, 1018–1027.</w:t>
      </w:r>
      <w:r>
        <w:t xml:space="preserve"> </w:t>
      </w:r>
      <w:hyperlink r:id="rId66">
        <w:r>
          <w:rPr>
            <w:rStyle w:val="Hyperlink"/>
          </w:rPr>
          <w:t xml:space="preserve">https://doi.org/10.1111/1365-2664.12938</w:t>
        </w:r>
      </w:hyperlink>
    </w:p>
    <w:bookmarkEnd w:id="67"/>
    <w:bookmarkStart w:id="69" w:name="ref-Buisson.2022"/>
    <w:p>
      <w:pPr>
        <w:pStyle w:val="Literaturverzeichnis"/>
      </w:pPr>
      <w:r>
        <w:t xml:space="preserve">Buisson, E., Archibald, S., Fidelis, A., &amp; Suding, K. N. (2022). Ancient grasslands guide ambitious goals in grassland restoration.</w:t>
      </w:r>
      <w:r>
        <w:t xml:space="preserve"> </w:t>
      </w:r>
      <w:r>
        <w:rPr>
          <w:iCs/>
          <w:i/>
        </w:rPr>
        <w:t xml:space="preserve">Science</w:t>
      </w:r>
      <w:r>
        <w:t xml:space="preserve">,</w:t>
      </w:r>
      <w:r>
        <w:t xml:space="preserve"> </w:t>
      </w:r>
      <w:r>
        <w:rPr>
          <w:iCs/>
          <w:i/>
        </w:rPr>
        <w:t xml:space="preserve">377</w:t>
      </w:r>
      <w:r>
        <w:t xml:space="preserve">, 594–598.</w:t>
      </w:r>
      <w:r>
        <w:t xml:space="preserve"> </w:t>
      </w:r>
      <w:hyperlink r:id="rId68">
        <w:r>
          <w:rPr>
            <w:rStyle w:val="Hyperlink"/>
          </w:rPr>
          <w:t xml:space="preserve">https://doi.org/10.1126/science.abo4605</w:t>
        </w:r>
      </w:hyperlink>
    </w:p>
    <w:bookmarkEnd w:id="69"/>
    <w:bookmarkStart w:id="70" w:name="ref-BodenkundlKartieranl.2005"/>
    <w:p>
      <w:pPr>
        <w:pStyle w:val="Literaturverzeichnis"/>
      </w:pPr>
      <w:r>
        <w:t xml:space="preserve">Bundesanstalt für Geowissenschaften und Rohstoffe (Ed.). (2005).</w:t>
      </w:r>
      <w:r>
        <w:t xml:space="preserve"> </w:t>
      </w:r>
      <w:r>
        <w:rPr>
          <w:iCs/>
          <w:i/>
        </w:rPr>
        <w:t xml:space="preserve">Bodenkundliche kartieranleitung</w:t>
      </w:r>
      <w:r>
        <w:t xml:space="preserve"> </w:t>
      </w:r>
      <w:r>
        <w:t xml:space="preserve">(5th ed.). Schweizerbart, Stuttgart. ISBN 978-3-510-95920-4.</w:t>
      </w:r>
    </w:p>
    <w:bookmarkEnd w:id="70"/>
    <w:bookmarkStart w:id="72" w:name="ref-brms"/>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 1–28.</w:t>
      </w:r>
      <w:r>
        <w:t xml:space="preserve"> </w:t>
      </w:r>
      <w:hyperlink r:id="rId71">
        <w:r>
          <w:rPr>
            <w:rStyle w:val="Hyperlink"/>
          </w:rPr>
          <w:t xml:space="preserve">https://doi.org/10.18637/jss.v080.i01</w:t>
        </w:r>
      </w:hyperlink>
    </w:p>
    <w:bookmarkEnd w:id="72"/>
    <w:bookmarkStart w:id="74" w:name="ref-chenot-lescure2022"/>
    <w:p>
      <w:pPr>
        <w:pStyle w:val="Literaturverzeichnis"/>
      </w:pPr>
      <w:r>
        <w:t xml:space="preserve">Chenot-Lescure, J., Jaunatre, R., Buisson, E., Ramone, H., &amp; Dutoit, T. (2022). Using various artificial soil mixtures to restore dry grasslands in quarries.</w:t>
      </w:r>
      <w:r>
        <w:t xml:space="preserve"> </w:t>
      </w:r>
      <w:r>
        <w:rPr>
          <w:iCs/>
          <w:i/>
        </w:rPr>
        <w:t xml:space="preserve">Restoration Ecology</w:t>
      </w:r>
      <w:r>
        <w:t xml:space="preserve">,</w:t>
      </w:r>
      <w:r>
        <w:t xml:space="preserve"> </w:t>
      </w:r>
      <w:r>
        <w:rPr>
          <w:iCs/>
          <w:i/>
        </w:rPr>
        <w:t xml:space="preserve">30</w:t>
      </w:r>
      <w:r>
        <w:t xml:space="preserve">, e13620.</w:t>
      </w:r>
      <w:r>
        <w:t xml:space="preserve"> </w:t>
      </w:r>
      <w:hyperlink r:id="rId73">
        <w:r>
          <w:rPr>
            <w:rStyle w:val="Hyperlink"/>
          </w:rPr>
          <w:t xml:space="preserve">https://doi.org/10.1111/rec.13620</w:t>
        </w:r>
      </w:hyperlink>
    </w:p>
    <w:bookmarkEnd w:id="74"/>
    <w:bookmarkStart w:id="76" w:name="ref-Chytry.2020"/>
    <w:p>
      <w:pPr>
        <w:pStyle w:val="Literaturverzeichnis"/>
      </w:pPr>
      <w:r>
        <w:t xml:space="preserve">Chytrý, M., Tichý, L., Hennekens, S. M., Knollová, I., Janssen, J. A. M., Rodwell, J. S., Peterka, T., Marcenò, C., Landucci, F., Danihelka, J., Hájek, M., Dengler, J., Novák, P., Zukal, D., Jiménez-Alfaro, B., Mucina, L., Abdulhak, S., Aćić, S., Agrillo, E., … Schaminée, J. H. J. (2020). EUNIS habitat classification: Expert system, characteristic species combinations and distribution maps of european habitats.</w:t>
      </w:r>
      <w:r>
        <w:t xml:space="preserve"> </w:t>
      </w:r>
      <w:r>
        <w:rPr>
          <w:iCs/>
          <w:i/>
        </w:rPr>
        <w:t xml:space="preserve">Applied Vegetation Science</w:t>
      </w:r>
      <w:r>
        <w:t xml:space="preserve">,</w:t>
      </w:r>
      <w:r>
        <w:t xml:space="preserve"> </w:t>
      </w:r>
      <w:r>
        <w:rPr>
          <w:iCs/>
          <w:i/>
        </w:rPr>
        <w:t xml:space="preserve">23</w:t>
      </w:r>
      <w:r>
        <w:t xml:space="preserve">, 648–675.</w:t>
      </w:r>
      <w:r>
        <w:t xml:space="preserve"> </w:t>
      </w:r>
      <w:hyperlink r:id="rId75">
        <w:r>
          <w:rPr>
            <w:rStyle w:val="Hyperlink"/>
          </w:rPr>
          <w:t xml:space="preserve">https://doi.org/10.1111/avsc.12519</w:t>
        </w:r>
      </w:hyperlink>
    </w:p>
    <w:bookmarkEnd w:id="76"/>
    <w:bookmarkStart w:id="78" w:name="ref-cdc2022temp"/>
    <w:p>
      <w:pPr>
        <w:pStyle w:val="Literaturverzeichnis"/>
      </w:pPr>
      <w:r>
        <w:t xml:space="preserve">Climate Data Center of the German Meteorological Service. (2022a).</w:t>
      </w:r>
      <w:r>
        <w:t xml:space="preserve"> </w:t>
      </w:r>
      <w:r>
        <w:rPr>
          <w:iCs/>
          <w:i/>
        </w:rPr>
        <w:t xml:space="preserve">Annual station observations of air temperature at 2 m above ground in °C for</w:t>
      </w:r>
      <w:r>
        <w:rPr>
          <w:iCs/>
          <w:i/>
        </w:rPr>
        <w:t xml:space="preserve"> </w:t>
      </w:r>
      <w:r>
        <w:rPr>
          <w:iCs/>
          <w:i/>
        </w:rPr>
        <w:t xml:space="preserve">Germany</w:t>
      </w:r>
      <w:r>
        <w:rPr>
          <w:iCs/>
          <w:i/>
        </w:rPr>
        <w:t xml:space="preserve">. Version v21.3: Station</w:t>
      </w:r>
      <w:r>
        <w:rPr>
          <w:iCs/>
          <w:i/>
        </w:rPr>
        <w:t xml:space="preserve"> </w:t>
      </w:r>
      <w:r>
        <w:rPr>
          <w:iCs/>
          <w:i/>
        </w:rPr>
        <w:t xml:space="preserve">Metten</w:t>
      </w:r>
      <w:r>
        <w:t xml:space="preserve">.</w:t>
      </w:r>
      <w:r>
        <w:t xml:space="preserve"> </w:t>
      </w:r>
      <w:hyperlink r:id="rId77">
        <w:r>
          <w:rPr>
            <w:rStyle w:val="Hyperlink"/>
          </w:rPr>
          <w:t xml:space="preserve">https://cdc.dwd.de/portal/</w:t>
        </w:r>
      </w:hyperlink>
    </w:p>
    <w:bookmarkEnd w:id="78"/>
    <w:bookmarkStart w:id="79" w:name="ref-cdc2022prec"/>
    <w:p>
      <w:pPr>
        <w:pStyle w:val="Literaturverzeichnis"/>
      </w:pPr>
      <w:r>
        <w:t xml:space="preserve">Climate Data Center of the German Meteorological Service. (2022b).</w:t>
      </w:r>
      <w:r>
        <w:t xml:space="preserve"> </w:t>
      </w:r>
      <w:r>
        <w:rPr>
          <w:iCs/>
          <w:i/>
        </w:rPr>
        <w:t xml:space="preserve">Annual station observations of precipitation in mm for</w:t>
      </w:r>
      <w:r>
        <w:rPr>
          <w:iCs/>
          <w:i/>
        </w:rPr>
        <w:t xml:space="preserve"> </w:t>
      </w:r>
      <w:r>
        <w:rPr>
          <w:iCs/>
          <w:i/>
        </w:rPr>
        <w:t xml:space="preserve">Germany</w:t>
      </w:r>
      <w:r>
        <w:rPr>
          <w:iCs/>
          <w:i/>
        </w:rPr>
        <w:t xml:space="preserve">. Version v21.3: Station</w:t>
      </w:r>
      <w:r>
        <w:rPr>
          <w:iCs/>
          <w:i/>
        </w:rPr>
        <w:t xml:space="preserve"> </w:t>
      </w:r>
      <w:r>
        <w:rPr>
          <w:iCs/>
          <w:i/>
        </w:rPr>
        <w:t xml:space="preserve">Metten</w:t>
      </w:r>
      <w:r>
        <w:t xml:space="preserve">.</w:t>
      </w:r>
      <w:r>
        <w:t xml:space="preserve"> </w:t>
      </w:r>
      <w:hyperlink r:id="rId77">
        <w:r>
          <w:rPr>
            <w:rStyle w:val="Hyperlink"/>
          </w:rPr>
          <w:t xml:space="preserve">https://cdc.dwd.de/portal/</w:t>
        </w:r>
      </w:hyperlink>
    </w:p>
    <w:bookmarkEnd w:id="79"/>
    <w:bookmarkStart w:id="81" w:name="ref-COP.2014"/>
    <w:p>
      <w:pPr>
        <w:pStyle w:val="Literaturverzeichnis"/>
      </w:pPr>
      <w:r>
        <w:rPr>
          <w:iCs/>
          <w:i/>
        </w:rPr>
        <w:t xml:space="preserve">Convention on Biological Diversity (CBD): Aichi biodiversity targets 14 and 15</w:t>
      </w:r>
      <w:r>
        <w:t xml:space="preserve">. (2014).</w:t>
      </w:r>
      <w:r>
        <w:t xml:space="preserve"> </w:t>
      </w:r>
      <w:hyperlink r:id="rId80">
        <w:r>
          <w:rPr>
            <w:rStyle w:val="Hyperlink"/>
          </w:rPr>
          <w:t xml:space="preserve">https://www.cbd.int/sp/targets/</w:t>
        </w:r>
      </w:hyperlink>
    </w:p>
    <w:bookmarkEnd w:id="81"/>
    <w:bookmarkStart w:id="83" w:name="ref-Cooke.2018"/>
    <w:p>
      <w:pPr>
        <w:pStyle w:val="Literaturverzeichnis"/>
      </w:pPr>
      <w:r>
        <w:t xml:space="preserve">Cooke, S. J., Rous, A. M., Donaldson, L. A., Taylor, J. J., Rytwinski, T., Prior, K. A., Smokorowski, K. E., &amp; Bennett, J. R. (2018). Evidence-based restoration in the anthropocene – from acting with purpose to acting for impact.</w:t>
      </w:r>
      <w:r>
        <w:t xml:space="preserve"> </w:t>
      </w:r>
      <w:r>
        <w:rPr>
          <w:iCs/>
          <w:i/>
        </w:rPr>
        <w:t xml:space="preserve">Restoration Ecology</w:t>
      </w:r>
      <w:r>
        <w:t xml:space="preserve">,</w:t>
      </w:r>
      <w:r>
        <w:t xml:space="preserve"> </w:t>
      </w:r>
      <w:r>
        <w:rPr>
          <w:iCs/>
          <w:i/>
        </w:rPr>
        <w:t xml:space="preserve">26</w:t>
      </w:r>
      <w:r>
        <w:t xml:space="preserve">, 201–205.</w:t>
      </w:r>
      <w:r>
        <w:t xml:space="preserve"> </w:t>
      </w:r>
      <w:hyperlink r:id="rId82">
        <w:r>
          <w:rPr>
            <w:rStyle w:val="Hyperlink"/>
          </w:rPr>
          <w:t xml:space="preserve">https://doi.org/10.1111/rec.12675</w:t>
        </w:r>
      </w:hyperlink>
    </w:p>
    <w:bookmarkEnd w:id="83"/>
    <w:bookmarkStart w:id="85" w:name="ref-Dengler.2014"/>
    <w:p>
      <w:pPr>
        <w:pStyle w:val="Literaturverzeichnis"/>
      </w:pPr>
      <w:r>
        <w:t xml:space="preserve">Dengler, J., Janišová, M., Török, P., &amp; Wellstein, C. (2014). Biodiversity of</w:t>
      </w:r>
      <w:r>
        <w:t xml:space="preserve"> </w:t>
      </w:r>
      <w:r>
        <w:t xml:space="preserve">Palaearctic</w:t>
      </w:r>
      <w:r>
        <w:t xml:space="preserve"> </w:t>
      </w:r>
      <w:r>
        <w:t xml:space="preserve">grasslands: A synthesis.</w:t>
      </w:r>
      <w:r>
        <w:t xml:space="preserve"> </w:t>
      </w:r>
      <w:r>
        <w:rPr>
          <w:iCs/>
          <w:i/>
        </w:rPr>
        <w:t xml:space="preserve">Agriculture, Ecosystems &amp; Environment</w:t>
      </w:r>
      <w:r>
        <w:t xml:space="preserve">,</w:t>
      </w:r>
      <w:r>
        <w:t xml:space="preserve"> </w:t>
      </w:r>
      <w:r>
        <w:rPr>
          <w:iCs/>
          <w:i/>
        </w:rPr>
        <w:t xml:space="preserve">182</w:t>
      </w:r>
      <w:r>
        <w:t xml:space="preserve">, 1–14.</w:t>
      </w:r>
      <w:r>
        <w:t xml:space="preserve"> </w:t>
      </w:r>
      <w:hyperlink r:id="rId84">
        <w:r>
          <w:rPr>
            <w:rStyle w:val="Hyperlink"/>
          </w:rPr>
          <w:t xml:space="preserve">https://doi.org/10.1016/j.agee.2013.12.015</w:t>
        </w:r>
      </w:hyperlink>
    </w:p>
    <w:bookmarkEnd w:id="85"/>
    <w:bookmarkStart w:id="87" w:name="ref-dwd2021"/>
    <w:p>
      <w:pPr>
        <w:pStyle w:val="Literaturverzeichnis"/>
      </w:pPr>
      <w:r>
        <w:t xml:space="preserve">Deutscher Wetterdienst. (2021).</w:t>
      </w:r>
      <w:r>
        <w:t xml:space="preserve"> </w:t>
      </w:r>
      <w:r>
        <w:rPr>
          <w:iCs/>
          <w:i/>
        </w:rPr>
        <w:t xml:space="preserve">Langjähriges Mittel der Wetterstation Metten 1981-2010</w:t>
      </w:r>
      <w:r>
        <w:t xml:space="preserve">.</w:t>
      </w:r>
      <w:r>
        <w:t xml:space="preserve"> </w:t>
      </w:r>
      <w:hyperlink r:id="rId86">
        <w:r>
          <w:rPr>
            <w:rStyle w:val="Hyperlink"/>
          </w:rPr>
          <w:t xml:space="preserve">www.dwd.de</w:t>
        </w:r>
      </w:hyperlink>
    </w:p>
    <w:bookmarkEnd w:id="87"/>
    <w:bookmarkStart w:id="89" w:name="ref-dornbush2010"/>
    <w:p>
      <w:pPr>
        <w:pStyle w:val="Literaturverzeichnis"/>
      </w:pPr>
      <w:r>
        <w:t xml:space="preserve">Dornbush, M. E., &amp; Wilsey, B. J. (2010). Experimental manipulation of soil depth alters species richness and co-occurrence in restored tallgrass prairie.</w:t>
      </w:r>
      <w:r>
        <w:t xml:space="preserve"> </w:t>
      </w:r>
      <w:r>
        <w:rPr>
          <w:iCs/>
          <w:i/>
        </w:rPr>
        <w:t xml:space="preserve">Journal of Ecology</w:t>
      </w:r>
      <w:r>
        <w:t xml:space="preserve">,</w:t>
      </w:r>
      <w:r>
        <w:t xml:space="preserve"> </w:t>
      </w:r>
      <w:r>
        <w:rPr>
          <w:iCs/>
          <w:i/>
        </w:rPr>
        <w:t xml:space="preserve">98</w:t>
      </w:r>
      <w:r>
        <w:t xml:space="preserve">, 117–125.</w:t>
      </w:r>
      <w:r>
        <w:t xml:space="preserve"> </w:t>
      </w:r>
      <w:hyperlink r:id="rId88">
        <w:r>
          <w:rPr>
            <w:rStyle w:val="Hyperlink"/>
          </w:rPr>
          <w:t xml:space="preserve">https://doi.org/10.1111/j.1365-2745.2009.01605.x</w:t>
        </w:r>
      </w:hyperlink>
    </w:p>
    <w:bookmarkEnd w:id="89"/>
    <w:bookmarkStart w:id="91" w:name="ref-dudley2020"/>
    <w:p>
      <w:pPr>
        <w:pStyle w:val="Literaturverzeichnis"/>
      </w:pPr>
      <w:r>
        <w:t xml:space="preserve">Dudley, N., Eufemia, L., Fleckenstein, M., Periago, M. E., Petersen, I., &amp; Timmers, J. F. (2020). Grasslands and savannahs in the UN Decade on Ecosystem Restoration.</w:t>
      </w:r>
      <w:r>
        <w:t xml:space="preserve"> </w:t>
      </w:r>
      <w:r>
        <w:rPr>
          <w:iCs/>
          <w:i/>
        </w:rPr>
        <w:t xml:space="preserve">Restoration Ecology</w:t>
      </w:r>
      <w:r>
        <w:t xml:space="preserve">,</w:t>
      </w:r>
      <w:r>
        <w:t xml:space="preserve"> </w:t>
      </w:r>
      <w:r>
        <w:rPr>
          <w:iCs/>
          <w:i/>
        </w:rPr>
        <w:t xml:space="preserve">28</w:t>
      </w:r>
      <w:r>
        <w:t xml:space="preserve">, 1313–1317.</w:t>
      </w:r>
      <w:r>
        <w:t xml:space="preserve"> </w:t>
      </w:r>
      <w:hyperlink r:id="rId90">
        <w:r>
          <w:rPr>
            <w:rStyle w:val="Hyperlink"/>
          </w:rPr>
          <w:t xml:space="preserve">https://doi.org/10.1111/rec.13272</w:t>
        </w:r>
      </w:hyperlink>
    </w:p>
    <w:bookmarkEnd w:id="91"/>
    <w:bookmarkStart w:id="93" w:name="ref-Engst.2016"/>
    <w:p>
      <w:pPr>
        <w:pStyle w:val="Literaturverzeichnis"/>
      </w:pPr>
      <w:r>
        <w:t xml:space="preserve">Engst, K., Baasch, A., Erfmeier, A., Jandt, U., May, K., Schmiede, R., &amp; Bruelheide, H. (2016). Functional community ecology meets restoration ecology: Assessing the restoration success of alluvial floodplain meadows with functional traits.</w:t>
      </w:r>
      <w:r>
        <w:t xml:space="preserve"> </w:t>
      </w:r>
      <w:r>
        <w:rPr>
          <w:iCs/>
          <w:i/>
        </w:rPr>
        <w:t xml:space="preserve">Journal of Applied Ecology</w:t>
      </w:r>
      <w:r>
        <w:t xml:space="preserve">,</w:t>
      </w:r>
      <w:r>
        <w:t xml:space="preserve"> </w:t>
      </w:r>
      <w:r>
        <w:rPr>
          <w:iCs/>
          <w:i/>
        </w:rPr>
        <w:t xml:space="preserve">53</w:t>
      </w:r>
      <w:r>
        <w:t xml:space="preserve">, 751–764.</w:t>
      </w:r>
      <w:r>
        <w:t xml:space="preserve"> </w:t>
      </w:r>
      <w:hyperlink r:id="rId92">
        <w:r>
          <w:rPr>
            <w:rStyle w:val="Hyperlink"/>
          </w:rPr>
          <w:t xml:space="preserve">https://doi.org/10.1111/1365-2664.12623</w:t>
        </w:r>
      </w:hyperlink>
    </w:p>
    <w:bookmarkEnd w:id="93"/>
    <w:bookmarkStart w:id="95" w:name="ref-Freitag.2021"/>
    <w:p>
      <w:pPr>
        <w:pStyle w:val="Literaturverzeichnis"/>
      </w:pPr>
      <w:r>
        <w:t xml:space="preserve">Freitag, M., Klaus, V. H., Bollinger, R., Hamer, U., Kleinebecker, T., Prati, D., Schäfer, D., &amp; Hölzel, N. (2021). Restoration of plant diversity in permanent grassland by seeding: Assessing the limiting factors along land-use gradients.</w:t>
      </w:r>
      <w:r>
        <w:t xml:space="preserve"> </w:t>
      </w:r>
      <w:r>
        <w:rPr>
          <w:iCs/>
          <w:i/>
        </w:rPr>
        <w:t xml:space="preserve">Journal of Applied Ecology</w:t>
      </w:r>
      <w:r>
        <w:t xml:space="preserve">,</w:t>
      </w:r>
      <w:r>
        <w:t xml:space="preserve"> </w:t>
      </w:r>
      <w:r>
        <w:rPr>
          <w:iCs/>
          <w:i/>
        </w:rPr>
        <w:t xml:space="preserve">58</w:t>
      </w:r>
      <w:r>
        <w:t xml:space="preserve">, 1681–1692.</w:t>
      </w:r>
      <w:r>
        <w:t xml:space="preserve"> </w:t>
      </w:r>
      <w:hyperlink r:id="rId94">
        <w:r>
          <w:rPr>
            <w:rStyle w:val="Hyperlink"/>
          </w:rPr>
          <w:t xml:space="preserve">https://doi.org/10.1111/1365-2664.13883</w:t>
        </w:r>
      </w:hyperlink>
    </w:p>
    <w:bookmarkEnd w:id="95"/>
    <w:bookmarkStart w:id="97" w:name="ref-Fukami.2015"/>
    <w:p>
      <w:pPr>
        <w:pStyle w:val="Literaturverzeichnis"/>
      </w:pPr>
      <w:r>
        <w:t xml:space="preserve">Fukami, T. (2015). Historical contingency in community assembly: Integrating niches, species pools, and priority effects.</w:t>
      </w:r>
      <w:r>
        <w:t xml:space="preserve"> </w:t>
      </w:r>
      <w:r>
        <w:rPr>
          <w:iCs/>
          <w:i/>
        </w:rPr>
        <w:t xml:space="preserve">Annual Review of Ecology, Evolution, and Systematics</w:t>
      </w:r>
      <w:r>
        <w:t xml:space="preserve">,</w:t>
      </w:r>
      <w:r>
        <w:t xml:space="preserve"> </w:t>
      </w:r>
      <w:r>
        <w:rPr>
          <w:iCs/>
          <w:i/>
        </w:rPr>
        <w:t xml:space="preserve">46</w:t>
      </w:r>
      <w:r>
        <w:t xml:space="preserve">, 1–23.</w:t>
      </w:r>
      <w:r>
        <w:t xml:space="preserve"> </w:t>
      </w:r>
      <w:hyperlink r:id="rId96">
        <w:r>
          <w:rPr>
            <w:rStyle w:val="Hyperlink"/>
          </w:rPr>
          <w:t xml:space="preserve">https://doi.org/10.1146/annurev-ecolsys-110411-160340</w:t>
        </w:r>
      </w:hyperlink>
    </w:p>
    <w:bookmarkEnd w:id="97"/>
    <w:bookmarkStart w:id="99" w:name="ref-Funk.2008"/>
    <w:p>
      <w:pPr>
        <w:pStyle w:val="Literaturverzeichnis"/>
      </w:pPr>
      <w:r>
        <w:t xml:space="preserve">Funk, J. L., Cleland, E. E., Suding, K. N., &amp; Zavaleta, E. S. (2008). Restoration through reassembly: Plant traits and invasion resistance.</w:t>
      </w:r>
      <w:r>
        <w:t xml:space="preserve"> </w:t>
      </w:r>
      <w:r>
        <w:rPr>
          <w:iCs/>
          <w:i/>
        </w:rPr>
        <w:t xml:space="preserve">Trends in Ecology and Evolution</w:t>
      </w:r>
      <w:r>
        <w:t xml:space="preserve">,</w:t>
      </w:r>
      <w:r>
        <w:t xml:space="preserve"> </w:t>
      </w:r>
      <w:r>
        <w:rPr>
          <w:iCs/>
          <w:i/>
        </w:rPr>
        <w:t xml:space="preserve">23</w:t>
      </w:r>
      <w:r>
        <w:t xml:space="preserve">, 695–703.</w:t>
      </w:r>
      <w:r>
        <w:t xml:space="preserve"> </w:t>
      </w:r>
      <w:hyperlink r:id="rId98">
        <w:r>
          <w:rPr>
            <w:rStyle w:val="Hyperlink"/>
          </w:rPr>
          <w:t xml:space="preserve">https://doi.org/10.1016/j.tree.2008.07.013</w:t>
        </w:r>
      </w:hyperlink>
    </w:p>
    <w:bookmarkEnd w:id="99"/>
    <w:bookmarkStart w:id="101" w:name="ref-bayesplot"/>
    <w:p>
      <w:pPr>
        <w:pStyle w:val="Literaturverzeichnis"/>
      </w:pPr>
      <w:r>
        <w:t xml:space="preserve">Gabry, J., &amp; Mahr, T. (2022).</w:t>
      </w:r>
      <w:r>
        <w:t xml:space="preserve"> </w:t>
      </w:r>
      <w:r>
        <w:rPr>
          <w:iCs/>
          <w:i/>
        </w:rPr>
        <w:t xml:space="preserve">bayesplot</w:t>
      </w:r>
      <w:r>
        <w:rPr>
          <w:iCs/>
          <w:i/>
        </w:rPr>
        <w:t xml:space="preserve">: Plotting for</w:t>
      </w:r>
      <w:r>
        <w:rPr>
          <w:iCs/>
          <w:i/>
        </w:rPr>
        <w:t xml:space="preserve"> </w:t>
      </w:r>
      <w:r>
        <w:rPr>
          <w:iCs/>
          <w:i/>
        </w:rPr>
        <w:t xml:space="preserve">Bayesian</w:t>
      </w:r>
      <w:r>
        <w:rPr>
          <w:iCs/>
          <w:i/>
        </w:rPr>
        <w:t xml:space="preserve"> </w:t>
      </w:r>
      <w:r>
        <w:rPr>
          <w:iCs/>
          <w:i/>
        </w:rPr>
        <w:t xml:space="preserve">models</w:t>
      </w:r>
      <w:r>
        <w:t xml:space="preserve">.</w:t>
      </w:r>
      <w:r>
        <w:t xml:space="preserve"> </w:t>
      </w:r>
      <w:hyperlink r:id="rId100">
        <w:r>
          <w:rPr>
            <w:rStyle w:val="Hyperlink"/>
          </w:rPr>
          <w:t xml:space="preserve">https://mc-stan.org/bayesplot/</w:t>
        </w:r>
      </w:hyperlink>
    </w:p>
    <w:bookmarkEnd w:id="101"/>
    <w:bookmarkStart w:id="103" w:name="ref-gabry2019"/>
    <w:p>
      <w:pPr>
        <w:pStyle w:val="Literaturverzeichnis"/>
      </w:pPr>
      <w:r>
        <w:t xml:space="preserve">Gabry, J., Simpson, D., Vehtari, A., Betancourt, M., &amp; Gelman, A. (2019). Visualization in Bayesian workflow.</w:t>
      </w:r>
      <w:r>
        <w:t xml:space="preserve"> </w:t>
      </w:r>
      <w:r>
        <w:rPr>
          <w:iCs/>
          <w:i/>
        </w:rPr>
        <w:t xml:space="preserve">Journal of the Royal Statistical Society: Series A</w:t>
      </w:r>
      <w:r>
        <w:t xml:space="preserve">,</w:t>
      </w:r>
      <w:r>
        <w:t xml:space="preserve"> </w:t>
      </w:r>
      <w:r>
        <w:rPr>
          <w:iCs/>
          <w:i/>
        </w:rPr>
        <w:t xml:space="preserve">182</w:t>
      </w:r>
      <w:r>
        <w:t xml:space="preserve">, 389–402.</w:t>
      </w:r>
      <w:r>
        <w:t xml:space="preserve"> </w:t>
      </w:r>
      <w:hyperlink r:id="rId102">
        <w:r>
          <w:rPr>
            <w:rStyle w:val="Hyperlink"/>
          </w:rPr>
          <w:t xml:space="preserve">https://doi.org/10.1111/rssa.12378</w:t>
        </w:r>
      </w:hyperlink>
    </w:p>
    <w:bookmarkEnd w:id="103"/>
    <w:bookmarkStart w:id="105" w:name="ref-gelman2019"/>
    <w:p>
      <w:pPr>
        <w:pStyle w:val="Literaturverzeichnis"/>
      </w:pPr>
      <w:r>
        <w:t xml:space="preserve">Gelman, A., Goodrich, B., Gabry, J., &amp; Vehtari, A. (2019). R-squared for Bayesian regression models.</w:t>
      </w:r>
      <w:r>
        <w:t xml:space="preserve"> </w:t>
      </w:r>
      <w:r>
        <w:rPr>
          <w:iCs/>
          <w:i/>
        </w:rPr>
        <w:t xml:space="preserve">The American Statistician</w:t>
      </w:r>
      <w:r>
        <w:t xml:space="preserve">,</w:t>
      </w:r>
      <w:r>
        <w:t xml:space="preserve"> </w:t>
      </w:r>
      <w:r>
        <w:rPr>
          <w:iCs/>
          <w:i/>
        </w:rPr>
        <w:t xml:space="preserve">73</w:t>
      </w:r>
      <w:r>
        <w:t xml:space="preserve">, 307–309.</w:t>
      </w:r>
      <w:r>
        <w:t xml:space="preserve"> </w:t>
      </w:r>
      <w:hyperlink r:id="rId104">
        <w:r>
          <w:rPr>
            <w:rStyle w:val="Hyperlink"/>
          </w:rPr>
          <w:t xml:space="preserve">https://doi.org/10.1080/00031305.2018.1549100</w:t>
        </w:r>
      </w:hyperlink>
    </w:p>
    <w:bookmarkEnd w:id="105"/>
    <w:bookmarkStart w:id="107" w:name="ref-Grman.2013"/>
    <w:p>
      <w:pPr>
        <w:pStyle w:val="Literaturverzeichnis"/>
      </w:pPr>
      <w:r>
        <w:t xml:space="preserve">Grman, E., Bassett, T., &amp; Brudvig, L. A. (2013). Confronting contingency in restoration: Management and site history determine outcomes of assembling prairies, but site characteristics and landscape context have little effect.</w:t>
      </w:r>
      <w:r>
        <w:t xml:space="preserve"> </w:t>
      </w:r>
      <w:r>
        <w:rPr>
          <w:iCs/>
          <w:i/>
        </w:rPr>
        <w:t xml:space="preserve">Journal of Applied Ecology</w:t>
      </w:r>
      <w:r>
        <w:t xml:space="preserve">,</w:t>
      </w:r>
      <w:r>
        <w:t xml:space="preserve"> </w:t>
      </w:r>
      <w:r>
        <w:rPr>
          <w:iCs/>
          <w:i/>
        </w:rPr>
        <w:t xml:space="preserve">50</w:t>
      </w:r>
      <w:r>
        <w:t xml:space="preserve">, 1234–1243.</w:t>
      </w:r>
      <w:r>
        <w:t xml:space="preserve"> </w:t>
      </w:r>
      <w:hyperlink r:id="rId106">
        <w:r>
          <w:rPr>
            <w:rStyle w:val="Hyperlink"/>
          </w:rPr>
          <w:t xml:space="preserve">https://doi.org/10.1111/1365-2664.12135</w:t>
        </w:r>
      </w:hyperlink>
    </w:p>
    <w:bookmarkEnd w:id="107"/>
    <w:bookmarkStart w:id="109" w:name="ref-Groves.2020"/>
    <w:p>
      <w:pPr>
        <w:pStyle w:val="Literaturverzeichnis"/>
      </w:pPr>
      <w:r>
        <w:t xml:space="preserve">Groves, A. M., Bauer, J. T., &amp; Brudvig, L. A. (2020). Lasting signature of planting year weather on restored grasslands.</w:t>
      </w:r>
      <w:r>
        <w:t xml:space="preserve"> </w:t>
      </w:r>
      <w:r>
        <w:rPr>
          <w:iCs/>
          <w:i/>
        </w:rPr>
        <w:t xml:space="preserve">Scientific Reports</w:t>
      </w:r>
      <w:r>
        <w:t xml:space="preserve">,</w:t>
      </w:r>
      <w:r>
        <w:t xml:space="preserve"> </w:t>
      </w:r>
      <w:r>
        <w:rPr>
          <w:iCs/>
          <w:i/>
        </w:rPr>
        <w:t xml:space="preserve">10</w:t>
      </w:r>
      <w:r>
        <w:t xml:space="preserve">, 5953.</w:t>
      </w:r>
      <w:r>
        <w:t xml:space="preserve"> </w:t>
      </w:r>
      <w:hyperlink r:id="rId108">
        <w:r>
          <w:rPr>
            <w:rStyle w:val="Hyperlink"/>
          </w:rPr>
          <w:t xml:space="preserve">https://doi.org/10.1038/s41598-020-62123-7</w:t>
        </w:r>
      </w:hyperlink>
    </w:p>
    <w:bookmarkEnd w:id="109"/>
    <w:bookmarkStart w:id="111" w:name="ref-hari2020"/>
    <w:p>
      <w:pPr>
        <w:pStyle w:val="Literaturverzeichnis"/>
      </w:pPr>
      <w:r>
        <w:t xml:space="preserve">Hari, V., Rakovec, O., Markonis, Y., Hanel, M., &amp; Kumar, R. (2020). Increased future occurrences of the exceptional 2018–2019 Central European drought under global warming.</w:t>
      </w:r>
      <w:r>
        <w:t xml:space="preserve"> </w:t>
      </w:r>
      <w:r>
        <w:rPr>
          <w:iCs/>
          <w:i/>
        </w:rPr>
        <w:t xml:space="preserve">Scientific Reports</w:t>
      </w:r>
      <w:r>
        <w:t xml:space="preserve">,</w:t>
      </w:r>
      <w:r>
        <w:t xml:space="preserve"> </w:t>
      </w:r>
      <w:r>
        <w:rPr>
          <w:iCs/>
          <w:i/>
        </w:rPr>
        <w:t xml:space="preserve">10</w:t>
      </w:r>
      <w:r>
        <w:t xml:space="preserve">, 12207.</w:t>
      </w:r>
      <w:r>
        <w:t xml:space="preserve"> </w:t>
      </w:r>
      <w:hyperlink r:id="rId110">
        <w:r>
          <w:rPr>
            <w:rStyle w:val="Hyperlink"/>
          </w:rPr>
          <w:t xml:space="preserve">https://doi.org/10.1038/s41598-020-68872-9</w:t>
        </w:r>
      </w:hyperlink>
    </w:p>
    <w:bookmarkEnd w:id="111"/>
    <w:bookmarkStart w:id="113" w:name="ref-hedberg2010"/>
    <w:p>
      <w:pPr>
        <w:pStyle w:val="Literaturverzeichnis"/>
      </w:pPr>
      <w:r>
        <w:t xml:space="preserve">Hedberg, P., &amp; Kotowski, W. (2010). New nature by sowing? The current state of species introduction in grassland restoration, and the road ahead.</w:t>
      </w:r>
      <w:r>
        <w:t xml:space="preserve"> </w:t>
      </w:r>
      <w:r>
        <w:rPr>
          <w:iCs/>
          <w:i/>
        </w:rPr>
        <w:t xml:space="preserve">Journal for Nature Conservation</w:t>
      </w:r>
      <w:r>
        <w:t xml:space="preserve">,</w:t>
      </w:r>
      <w:r>
        <w:t xml:space="preserve"> </w:t>
      </w:r>
      <w:r>
        <w:rPr>
          <w:iCs/>
          <w:i/>
        </w:rPr>
        <w:t xml:space="preserve">18</w:t>
      </w:r>
      <w:r>
        <w:t xml:space="preserve">, 304–308.</w:t>
      </w:r>
      <w:r>
        <w:t xml:space="preserve"> </w:t>
      </w:r>
      <w:hyperlink r:id="rId112">
        <w:r>
          <w:rPr>
            <w:rStyle w:val="Hyperlink"/>
          </w:rPr>
          <w:t xml:space="preserve">https://doi.org/10.1016/j.jnc.2010.01.003</w:t>
        </w:r>
      </w:hyperlink>
    </w:p>
    <w:bookmarkEnd w:id="113"/>
    <w:bookmarkStart w:id="115" w:name="ref-Helm.2015"/>
    <w:p>
      <w:pPr>
        <w:pStyle w:val="Literaturverzeichnis"/>
      </w:pPr>
      <w:r>
        <w:t xml:space="preserve">Helm, A., Zobel, M., Moles, A. T., Szava-Kovats, R., &amp; Pärtel, M. (2015). Characteristic and derived diversity: Implementing the species pool concept to quantify conservation condition of habitats.</w:t>
      </w:r>
      <w:r>
        <w:t xml:space="preserve"> </w:t>
      </w:r>
      <w:r>
        <w:rPr>
          <w:iCs/>
          <w:i/>
        </w:rPr>
        <w:t xml:space="preserve">Diversity and Distributions</w:t>
      </w:r>
      <w:r>
        <w:t xml:space="preserve">,</w:t>
      </w:r>
      <w:r>
        <w:t xml:space="preserve"> </w:t>
      </w:r>
      <w:r>
        <w:rPr>
          <w:iCs/>
          <w:i/>
        </w:rPr>
        <w:t xml:space="preserve">21</w:t>
      </w:r>
      <w:r>
        <w:t xml:space="preserve">, 711–721.</w:t>
      </w:r>
      <w:r>
        <w:t xml:space="preserve"> </w:t>
      </w:r>
      <w:hyperlink r:id="rId114">
        <w:r>
          <w:rPr>
            <w:rStyle w:val="Hyperlink"/>
          </w:rPr>
          <w:t xml:space="preserve">https://doi.org/10.1111/ddi.12285</w:t>
        </w:r>
      </w:hyperlink>
    </w:p>
    <w:bookmarkEnd w:id="115"/>
    <w:bookmarkStart w:id="117" w:name="ref-Holl.2022"/>
    <w:p>
      <w:pPr>
        <w:pStyle w:val="Literaturverzeichnis"/>
      </w:pPr>
      <w:r>
        <w:t xml:space="preserve">Holl, K. D., Luong, J. C., &amp; Brancalion, P. H. S. (2022). Overcoming biotic homogenization in ecological restoration.</w:t>
      </w:r>
      <w:r>
        <w:t xml:space="preserve"> </w:t>
      </w:r>
      <w:r>
        <w:rPr>
          <w:iCs/>
          <w:i/>
        </w:rPr>
        <w:t xml:space="preserve">Trends in Ecology and Evolution</w:t>
      </w:r>
      <w:r>
        <w:t xml:space="preserve">,</w:t>
      </w:r>
      <w:r>
        <w:t xml:space="preserve"> </w:t>
      </w:r>
      <w:r>
        <w:rPr>
          <w:iCs/>
          <w:i/>
        </w:rPr>
        <w:t xml:space="preserve">37</w:t>
      </w:r>
      <w:r>
        <w:t xml:space="preserve">, 777–788.</w:t>
      </w:r>
      <w:r>
        <w:t xml:space="preserve"> </w:t>
      </w:r>
      <w:hyperlink r:id="rId116">
        <w:r>
          <w:rPr>
            <w:rStyle w:val="Hyperlink"/>
          </w:rPr>
          <w:t xml:space="preserve">https://doi.org/10.1016/j.tree.2022.05.002</w:t>
        </w:r>
      </w:hyperlink>
    </w:p>
    <w:bookmarkEnd w:id="117"/>
    <w:bookmarkStart w:id="118" w:name="ref-husicka2003"/>
    <w:p>
      <w:pPr>
        <w:pStyle w:val="Literaturverzeichnis"/>
      </w:pPr>
      <w:r>
        <w:t xml:space="preserve">Husicka, A. (2003).</w:t>
      </w:r>
      <w:r>
        <w:t xml:space="preserve"> </w:t>
      </w:r>
      <w:r>
        <w:rPr>
          <w:iCs/>
          <w:i/>
        </w:rPr>
        <w:t xml:space="preserve">Vegetation, Ökologie und Erosionsfestigkeit von Grasnarben auf Flussdeichen am Beispiel der Rheindeiche in Nordrhein-Westfalen</w:t>
      </w:r>
      <w:r>
        <w:t xml:space="preserve">. Dissertationes Botanicae 379. J. Cramer, Berlin–Stuttgart.</w:t>
      </w:r>
    </w:p>
    <w:bookmarkEnd w:id="118"/>
    <w:bookmarkStart w:id="120" w:name="ref-Janssen.2016"/>
    <w:p>
      <w:pPr>
        <w:pStyle w:val="Literaturverzeichnis"/>
      </w:pPr>
      <w:r>
        <w:t xml:space="preserve">Janssen, J. A. M., Rodwell, J. S., García-Criado, M., Gubbay, S., Haynes, T., Nieto, A., Sanders, N. J., Landucci, F., Loidi, J., Ssymank, A., Tahvanainen, T., Valderrabano, M., Acosta, A. T. R., Aronsson, M., Arts, G., Attore, F., Bergmeier, E., Bijlsma, R.-J., Bioret, F., … Valachovič, M. (2016).</w:t>
      </w:r>
      <w:r>
        <w:t xml:space="preserve"> </w:t>
      </w:r>
      <w:r>
        <w:rPr>
          <w:iCs/>
          <w:i/>
        </w:rPr>
        <w:t xml:space="preserve">European red list of habitats: Part 2. Terrestrial and freshwater habitats</w:t>
      </w:r>
      <w:r>
        <w:t xml:space="preserve">. Publication Office of the European Union, Luxembourg.</w:t>
      </w:r>
      <w:r>
        <w:t xml:space="preserve"> </w:t>
      </w:r>
      <w:hyperlink r:id="rId119">
        <w:r>
          <w:rPr>
            <w:rStyle w:val="Hyperlink"/>
          </w:rPr>
          <w:t xml:space="preserve">https://doi.org/10.2779/091372</w:t>
        </w:r>
      </w:hyperlink>
    </w:p>
    <w:bookmarkEnd w:id="120"/>
    <w:bookmarkStart w:id="122" w:name="ref-jones2018"/>
    <w:p>
      <w:pPr>
        <w:pStyle w:val="Literaturverzeichnis"/>
      </w:pPr>
      <w:r>
        <w:t xml:space="preserve">Jones, H. P., Jones, P. C., Barbier, E. B., Blackburn, R. C., Rey Benayas, J. M., Holl, K. D., McCrackin, M., Meli, P., Montoya, D., &amp; Mateos, D. M. (2018). Restoration and repair of Earth’s damaged ecosystems.</w:t>
      </w:r>
      <w:r>
        <w:t xml:space="preserve"> </w:t>
      </w:r>
      <w:r>
        <w:rPr>
          <w:iCs/>
          <w:i/>
        </w:rPr>
        <w:t xml:space="preserve">Proceedings of the Royal Society B: Biological Sciences</w:t>
      </w:r>
      <w:r>
        <w:t xml:space="preserve">,</w:t>
      </w:r>
      <w:r>
        <w:t xml:space="preserve"> </w:t>
      </w:r>
      <w:r>
        <w:rPr>
          <w:iCs/>
          <w:i/>
        </w:rPr>
        <w:t xml:space="preserve">285</w:t>
      </w:r>
      <w:r>
        <w:t xml:space="preserve">, 20172577.</w:t>
      </w:r>
      <w:r>
        <w:t xml:space="preserve"> </w:t>
      </w:r>
      <w:hyperlink r:id="rId121">
        <w:r>
          <w:rPr>
            <w:rStyle w:val="Hyperlink"/>
          </w:rPr>
          <w:t xml:space="preserve">https://doi.org/10.1098/rspb.2017.2577</w:t>
        </w:r>
      </w:hyperlink>
    </w:p>
    <w:bookmarkEnd w:id="122"/>
    <w:bookmarkStart w:id="124" w:name="ref-Kaulfuss.2022"/>
    <w:p>
      <w:pPr>
        <w:pStyle w:val="Literaturverzeichnis"/>
      </w:pPr>
      <w:r>
        <w:t xml:space="preserve">Kaulfuß, F., Rosbakh, S., &amp; Reisch, C. (2022). Grassland restoration by local seed mixtures: new evidence from a practical 15</w:t>
      </w:r>
      <w:r>
        <w:t xml:space="preserve">-</w:t>
      </w:r>
      <w:r>
        <w:t xml:space="preserve">year restoration study.</w:t>
      </w:r>
      <w:r>
        <w:t xml:space="preserve"> </w:t>
      </w:r>
      <w:r>
        <w:rPr>
          <w:iCs/>
          <w:i/>
        </w:rPr>
        <w:t xml:space="preserve">Applied Vegetation Science</w:t>
      </w:r>
      <w:r>
        <w:t xml:space="preserve">,</w:t>
      </w:r>
      <w:r>
        <w:t xml:space="preserve"> </w:t>
      </w:r>
      <w:r>
        <w:rPr>
          <w:iCs/>
          <w:i/>
        </w:rPr>
        <w:t xml:space="preserve">25</w:t>
      </w:r>
      <w:r>
        <w:t xml:space="preserve">, e12652.</w:t>
      </w:r>
      <w:r>
        <w:t xml:space="preserve"> </w:t>
      </w:r>
      <w:hyperlink r:id="rId123">
        <w:r>
          <w:rPr>
            <w:rStyle w:val="Hyperlink"/>
          </w:rPr>
          <w:t xml:space="preserve">https://doi.org/10.1111/avsc.12652</w:t>
        </w:r>
      </w:hyperlink>
    </w:p>
    <w:bookmarkEnd w:id="124"/>
    <w:bookmarkStart w:id="126" w:name="ref-Kiehl.2010"/>
    <w:p>
      <w:pPr>
        <w:pStyle w:val="Literaturverzeichnis"/>
      </w:pPr>
      <w:r>
        <w:t xml:space="preserve">Kiehl, K., Kirmer, A., Donath, T. W., Rasran, L., &amp; Hölzel, N. (2010). Species introduction in restoration projects. Evaluation of different techniques for the establishment of semi-natural grasslands in Central and Northwestern Europe.</w:t>
      </w:r>
      <w:r>
        <w:t xml:space="preserve"> </w:t>
      </w:r>
      <w:r>
        <w:rPr>
          <w:iCs/>
          <w:i/>
        </w:rPr>
        <w:t xml:space="preserve">Basic and Applied Ecology</w:t>
      </w:r>
      <w:r>
        <w:t xml:space="preserve">,</w:t>
      </w:r>
      <w:r>
        <w:t xml:space="preserve"> </w:t>
      </w:r>
      <w:r>
        <w:rPr>
          <w:iCs/>
          <w:i/>
        </w:rPr>
        <w:t xml:space="preserve">11</w:t>
      </w:r>
      <w:r>
        <w:t xml:space="preserve">, 285–299.</w:t>
      </w:r>
      <w:r>
        <w:t xml:space="preserve"> </w:t>
      </w:r>
      <w:hyperlink r:id="rId125">
        <w:r>
          <w:rPr>
            <w:rStyle w:val="Hyperlink"/>
          </w:rPr>
          <w:t xml:space="preserve">https://doi.org/10.1016/j.baae.2009.12.004</w:t>
        </w:r>
      </w:hyperlink>
    </w:p>
    <w:bookmarkEnd w:id="126"/>
    <w:bookmarkStart w:id="127" w:name="ref-KleberLerchbaumer.2017"/>
    <w:p>
      <w:pPr>
        <w:pStyle w:val="Literaturverzeichnis"/>
      </w:pPr>
      <w:r>
        <w:t xml:space="preserve">Kleber-Lerchbaumer, U., Berger, C., &amp; Veit, E. (2017). Gestaltung und Unterhaltung von Deichen und Deichschutzstreifen unter Anwendung der Bayerischen Kompensationsverordnung. Beispiel Donauausbau Straubing und Vilshofen.</w:t>
      </w:r>
      <w:r>
        <w:t xml:space="preserve"> </w:t>
      </w:r>
      <w:r>
        <w:rPr>
          <w:iCs/>
          <w:i/>
        </w:rPr>
        <w:t xml:space="preserve">KW Korrespondenz Wasserwirtschaft</w:t>
      </w:r>
      <w:r>
        <w:t xml:space="preserve">,</w:t>
      </w:r>
      <w:r>
        <w:t xml:space="preserve"> </w:t>
      </w:r>
      <w:r>
        <w:rPr>
          <w:iCs/>
          <w:i/>
        </w:rPr>
        <w:t xml:space="preserve">10</w:t>
      </w:r>
      <w:r>
        <w:t xml:space="preserve">, 596–606.</w:t>
      </w:r>
    </w:p>
    <w:bookmarkEnd w:id="127"/>
    <w:bookmarkStart w:id="129" w:name="ref-kruschke2021"/>
    <w:p>
      <w:pPr>
        <w:pStyle w:val="Literaturverzeichnis"/>
      </w:pPr>
      <w:r>
        <w:t xml:space="preserve">Kruschke, J. K. (2021). Bayesian analysis reporting guidelines.</w:t>
      </w:r>
      <w:r>
        <w:t xml:space="preserve"> </w:t>
      </w:r>
      <w:r>
        <w:rPr>
          <w:iCs/>
          <w:i/>
        </w:rPr>
        <w:t xml:space="preserve">Nature Human Behaviour</w:t>
      </w:r>
      <w:r>
        <w:t xml:space="preserve">,</w:t>
      </w:r>
      <w:r>
        <w:t xml:space="preserve"> </w:t>
      </w:r>
      <w:r>
        <w:rPr>
          <w:iCs/>
          <w:i/>
        </w:rPr>
        <w:t xml:space="preserve">5</w:t>
      </w:r>
      <w:r>
        <w:t xml:space="preserve">, 1282–1291.</w:t>
      </w:r>
      <w:r>
        <w:t xml:space="preserve"> </w:t>
      </w:r>
      <w:hyperlink r:id="rId128">
        <w:r>
          <w:rPr>
            <w:rStyle w:val="Hyperlink"/>
          </w:rPr>
          <w:t xml:space="preserve">https://doi.org/10.1038/s41562-021-01177-7</w:t>
        </w:r>
      </w:hyperlink>
    </w:p>
    <w:bookmarkEnd w:id="129"/>
    <w:bookmarkStart w:id="131" w:name="ref-Larson.2021"/>
    <w:p>
      <w:pPr>
        <w:pStyle w:val="Literaturverzeichnis"/>
      </w:pPr>
      <w:r>
        <w:t xml:space="preserve">Larson, J. E., Ebinger, K. R., &amp; Suding, K. N. (2021). Water the odds? Spring rainfall and emergence</w:t>
      </w:r>
      <w:r>
        <w:t xml:space="preserve">-</w:t>
      </w:r>
      <w:r>
        <w:t xml:space="preserve">related seed traits drive plant recruitment.</w:t>
      </w:r>
      <w:r>
        <w:t xml:space="preserve"> </w:t>
      </w:r>
      <w:r>
        <w:rPr>
          <w:iCs/>
          <w:i/>
        </w:rPr>
        <w:t xml:space="preserve">Oikos</w:t>
      </w:r>
      <w:r>
        <w:t xml:space="preserve">,</w:t>
      </w:r>
      <w:r>
        <w:t xml:space="preserve"> </w:t>
      </w:r>
      <w:r>
        <w:rPr>
          <w:iCs/>
          <w:i/>
        </w:rPr>
        <w:t xml:space="preserve">130</w:t>
      </w:r>
      <w:r>
        <w:t xml:space="preserve">, 1665–1678.</w:t>
      </w:r>
      <w:r>
        <w:t xml:space="preserve"> </w:t>
      </w:r>
      <w:hyperlink r:id="rId130">
        <w:r>
          <w:rPr>
            <w:rStyle w:val="Hyperlink"/>
          </w:rPr>
          <w:t xml:space="preserve">https://doi.org/10.1111/oik.08638</w:t>
        </w:r>
      </w:hyperlink>
    </w:p>
    <w:bookmarkEnd w:id="131"/>
    <w:bookmarkStart w:id="133" w:name="ref-Laughlin.2014"/>
    <w:p>
      <w:pPr>
        <w:pStyle w:val="Literaturverzeichnis"/>
      </w:pPr>
      <w:r>
        <w:t xml:space="preserve">Laughlin, D. C. (2014). Applying trait-based models to achieve functional targets for theory-driven ecological restoration.</w:t>
      </w:r>
      <w:r>
        <w:t xml:space="preserve"> </w:t>
      </w:r>
      <w:r>
        <w:rPr>
          <w:iCs/>
          <w:i/>
        </w:rPr>
        <w:t xml:space="preserve">Ecology Letters</w:t>
      </w:r>
      <w:r>
        <w:t xml:space="preserve">,</w:t>
      </w:r>
      <w:r>
        <w:t xml:space="preserve"> </w:t>
      </w:r>
      <w:r>
        <w:rPr>
          <w:iCs/>
          <w:i/>
        </w:rPr>
        <w:t xml:space="preserve">17</w:t>
      </w:r>
      <w:r>
        <w:t xml:space="preserve">, 771–784.</w:t>
      </w:r>
      <w:r>
        <w:t xml:space="preserve"> </w:t>
      </w:r>
      <w:hyperlink r:id="rId132">
        <w:r>
          <w:rPr>
            <w:rStyle w:val="Hyperlink"/>
          </w:rPr>
          <w:t xml:space="preserve">https://doi.org/10.1111/ele.12288</w:t>
        </w:r>
      </w:hyperlink>
    </w:p>
    <w:bookmarkEnd w:id="133"/>
    <w:bookmarkStart w:id="135" w:name="ref-legendre2019"/>
    <w:p>
      <w:pPr>
        <w:pStyle w:val="Literaturverzeichnis"/>
      </w:pPr>
      <w:r>
        <w:t xml:space="preserve">Legendre, P. (2019). A temporal beta</w:t>
      </w:r>
      <w:r>
        <w:t xml:space="preserve">-</w:t>
      </w:r>
      <w:r>
        <w:t xml:space="preserve">diversity index to identify sites that have changed in exceptional ways in space</w:t>
      </w:r>
      <w:r>
        <w:t xml:space="preserve">time surveys.</w:t>
      </w:r>
      <w:r>
        <w:t xml:space="preserve"> </w:t>
      </w:r>
      <w:r>
        <w:rPr>
          <w:iCs/>
          <w:i/>
        </w:rPr>
        <w:t xml:space="preserve">Ecology and Evolution</w:t>
      </w:r>
      <w:r>
        <w:t xml:space="preserve">,</w:t>
      </w:r>
      <w:r>
        <w:t xml:space="preserve"> </w:t>
      </w:r>
      <w:r>
        <w:rPr>
          <w:iCs/>
          <w:i/>
        </w:rPr>
        <w:t xml:space="preserve">9</w:t>
      </w:r>
      <w:r>
        <w:t xml:space="preserve">, 3500–3514.</w:t>
      </w:r>
      <w:r>
        <w:t xml:space="preserve"> </w:t>
      </w:r>
      <w:hyperlink r:id="rId134">
        <w:r>
          <w:rPr>
            <w:rStyle w:val="Hyperlink"/>
          </w:rPr>
          <w:t xml:space="preserve">https://doi.org/10.1002/ece3.4984</w:t>
        </w:r>
      </w:hyperlink>
    </w:p>
    <w:bookmarkEnd w:id="135"/>
    <w:bookmarkStart w:id="137" w:name="ref-lemoine2019"/>
    <w:p>
      <w:pPr>
        <w:pStyle w:val="Literaturverzeichnis"/>
      </w:pPr>
      <w:r>
        <w:t xml:space="preserve">Lemoine, N. P. (2019). Moving beyond noninformative priors: Why and how to choose weakly informative priors in Bayesian analyses.</w:t>
      </w:r>
      <w:r>
        <w:t xml:space="preserve"> </w:t>
      </w:r>
      <w:r>
        <w:rPr>
          <w:iCs/>
          <w:i/>
        </w:rPr>
        <w:t xml:space="preserve">Oikos</w:t>
      </w:r>
      <w:r>
        <w:t xml:space="preserve">,</w:t>
      </w:r>
      <w:r>
        <w:t xml:space="preserve"> </w:t>
      </w:r>
      <w:r>
        <w:rPr>
          <w:iCs/>
          <w:i/>
        </w:rPr>
        <w:t xml:space="preserve">128</w:t>
      </w:r>
      <w:r>
        <w:t xml:space="preserve">, 912–928.</w:t>
      </w:r>
      <w:r>
        <w:t xml:space="preserve"> </w:t>
      </w:r>
      <w:hyperlink r:id="rId136">
        <w:r>
          <w:rPr>
            <w:rStyle w:val="Hyperlink"/>
          </w:rPr>
          <w:t xml:space="preserve">https://doi.org/10.1111/oik.05985</w:t>
        </w:r>
      </w:hyperlink>
    </w:p>
    <w:bookmarkEnd w:id="137"/>
    <w:bookmarkStart w:id="139" w:name="ref-Liebrand.1996"/>
    <w:p>
      <w:pPr>
        <w:pStyle w:val="Literaturverzeichnis"/>
      </w:pPr>
      <w:r>
        <w:t xml:space="preserve">Liebrand, C. I. J. M., &amp; Sykora, K. V. (1996). Restoration of semi-natural, species-rich grasslands on river dikes after reconstruction.</w:t>
      </w:r>
      <w:r>
        <w:t xml:space="preserve"> </w:t>
      </w:r>
      <w:r>
        <w:rPr>
          <w:iCs/>
          <w:i/>
        </w:rPr>
        <w:t xml:space="preserve">Ecological Engineering</w:t>
      </w:r>
      <w:r>
        <w:t xml:space="preserve">,</w:t>
      </w:r>
      <w:r>
        <w:t xml:space="preserve"> </w:t>
      </w:r>
      <w:r>
        <w:rPr>
          <w:iCs/>
          <w:i/>
        </w:rPr>
        <w:t xml:space="preserve">7</w:t>
      </w:r>
      <w:r>
        <w:t xml:space="preserve">, 315–326.</w:t>
      </w:r>
      <w:r>
        <w:t xml:space="preserve"> </w:t>
      </w:r>
      <w:hyperlink r:id="rId138">
        <w:r>
          <w:rPr>
            <w:rStyle w:val="Hyperlink"/>
          </w:rPr>
          <w:t xml:space="preserve">https://doi.org/10.1016/S0925-8574(96)00023-7</w:t>
        </w:r>
      </w:hyperlink>
    </w:p>
    <w:bookmarkEnd w:id="139"/>
    <w:bookmarkStart w:id="141" w:name="ref-londo1976"/>
    <w:p>
      <w:pPr>
        <w:pStyle w:val="Literaturverzeichnis"/>
      </w:pPr>
      <w:r>
        <w:t xml:space="preserve">Londo, G. (1976). The decimal scale for releves of permanent quadrats.</w:t>
      </w:r>
      <w:r>
        <w:t xml:space="preserve"> </w:t>
      </w:r>
      <w:r>
        <w:rPr>
          <w:iCs/>
          <w:i/>
        </w:rPr>
        <w:t xml:space="preserve">Vegetatio</w:t>
      </w:r>
      <w:r>
        <w:t xml:space="preserve">,</w:t>
      </w:r>
      <w:r>
        <w:t xml:space="preserve"> </w:t>
      </w:r>
      <w:r>
        <w:rPr>
          <w:iCs/>
          <w:i/>
        </w:rPr>
        <w:t xml:space="preserve">33</w:t>
      </w:r>
      <w:r>
        <w:t xml:space="preserve">, 61–64.</w:t>
      </w:r>
      <w:r>
        <w:t xml:space="preserve"> </w:t>
      </w:r>
      <w:hyperlink r:id="rId140">
        <w:r>
          <w:rPr>
            <w:rStyle w:val="Hyperlink"/>
          </w:rPr>
          <w:t xml:space="preserve">https://doi.org/10.1007/BF00055300</w:t>
        </w:r>
      </w:hyperlink>
    </w:p>
    <w:bookmarkEnd w:id="141"/>
    <w:bookmarkStart w:id="143" w:name="ref-merchant2022"/>
    <w:p>
      <w:pPr>
        <w:pStyle w:val="Literaturverzeichnis"/>
      </w:pPr>
      <w:r>
        <w:t xml:space="preserve">Merchant, T. K., Henn, J. J., Silva, I. de, Van Cleemput, E., &amp; Suding, K. N. (2022). Four reasons why functional traits are not being used in restoration practice.</w:t>
      </w:r>
      <w:r>
        <w:t xml:space="preserve"> </w:t>
      </w:r>
      <w:r>
        <w:rPr>
          <w:iCs/>
          <w:i/>
        </w:rPr>
        <w:t xml:space="preserve">Restoration Ecology</w:t>
      </w:r>
      <w:r>
        <w:t xml:space="preserve">, e13788.</w:t>
      </w:r>
      <w:r>
        <w:t xml:space="preserve"> </w:t>
      </w:r>
      <w:hyperlink r:id="rId142">
        <w:r>
          <w:rPr>
            <w:rStyle w:val="Hyperlink"/>
          </w:rPr>
          <w:t xml:space="preserve">https://doi.org/10.1111/rec.13788</w:t>
        </w:r>
      </w:hyperlink>
    </w:p>
    <w:bookmarkEnd w:id="143"/>
    <w:bookmarkStart w:id="145" w:name="ref-mitchley2012"/>
    <w:p>
      <w:pPr>
        <w:pStyle w:val="Literaturverzeichnis"/>
      </w:pPr>
      <w:r>
        <w:t xml:space="preserve">Mitchley, J., Jongepierová, I., &amp; Fajmon, K. (2012). Regional seed mixtures for the re-creation of species-rich meadows in the White Carpathian Mountains: Results of a 10-yr experiment.</w:t>
      </w:r>
      <w:r>
        <w:t xml:space="preserve"> </w:t>
      </w:r>
      <w:r>
        <w:rPr>
          <w:iCs/>
          <w:i/>
        </w:rPr>
        <w:t xml:space="preserve">Applied Vegetation Science</w:t>
      </w:r>
      <w:r>
        <w:t xml:space="preserve">,</w:t>
      </w:r>
      <w:r>
        <w:t xml:space="preserve"> </w:t>
      </w:r>
      <w:r>
        <w:rPr>
          <w:iCs/>
          <w:i/>
        </w:rPr>
        <w:t xml:space="preserve">15</w:t>
      </w:r>
      <w:r>
        <w:t xml:space="preserve">, 253–263.</w:t>
      </w:r>
      <w:r>
        <w:t xml:space="preserve"> </w:t>
      </w:r>
      <w:hyperlink r:id="rId144">
        <w:r>
          <w:rPr>
            <w:rStyle w:val="Hyperlink"/>
          </w:rPr>
          <w:t xml:space="preserve">https://doi.org/10.1111/j.1654-109x.2012.01183.x</w:t>
        </w:r>
      </w:hyperlink>
    </w:p>
    <w:bookmarkEnd w:id="145"/>
    <w:bookmarkStart w:id="147" w:name="ref-MorenoMateos.2017"/>
    <w:p>
      <w:pPr>
        <w:pStyle w:val="Literaturverzeichnis"/>
      </w:pPr>
      <w:r>
        <w:t xml:space="preserve">Moreno-Mateos, D., Barbier, E. B., Jones, P. C., Jones, H. P., Aronson, J., López-López, J. A., McCrackin, M. L., Meli, P., Montoya, D., &amp; Rey-Benayas, J. M. (2017). Anthropogenic ecosystem disturbance and the recovery debt.</w:t>
      </w:r>
      <w:r>
        <w:t xml:space="preserve"> </w:t>
      </w:r>
      <w:r>
        <w:rPr>
          <w:iCs/>
          <w:i/>
        </w:rPr>
        <w:t xml:space="preserve">Nature Communications</w:t>
      </w:r>
      <w:r>
        <w:t xml:space="preserve">,</w:t>
      </w:r>
      <w:r>
        <w:t xml:space="preserve"> </w:t>
      </w:r>
      <w:r>
        <w:rPr>
          <w:iCs/>
          <w:i/>
        </w:rPr>
        <w:t xml:space="preserve">8</w:t>
      </w:r>
      <w:r>
        <w:t xml:space="preserve">, 14163.</w:t>
      </w:r>
      <w:r>
        <w:t xml:space="preserve"> </w:t>
      </w:r>
      <w:hyperlink r:id="rId146">
        <w:r>
          <w:rPr>
            <w:rStyle w:val="Hyperlink"/>
          </w:rPr>
          <w:t xml:space="preserve">https://doi.org/10.1038/ncomms14163</w:t>
        </w:r>
      </w:hyperlink>
    </w:p>
    <w:bookmarkEnd w:id="147"/>
    <w:bookmarkStart w:id="149" w:name="ref-Mouquet.2015"/>
    <w:p>
      <w:pPr>
        <w:pStyle w:val="Literaturverzeichnis"/>
      </w:pPr>
      <w:r>
        <w:t xml:space="preserve">Mouquet, N., Lagadeuc, Y., Devictor, V., Doyen, L., Duputié, A., Eveillard, D., Faure, D., Garnier, E., Gimenez, O., Huneman, P., Jabot, F., Jarne, P., Joly, D., Julliard, R., Kéfi, S., Kergoat, G. J., Lavorel, S., Le Gall, L., Meslin, L., … Loreau, M. (2015). Predictive ecology in a changing world.</w:t>
      </w:r>
      <w:r>
        <w:t xml:space="preserve"> </w:t>
      </w:r>
      <w:r>
        <w:rPr>
          <w:iCs/>
          <w:i/>
        </w:rPr>
        <w:t xml:space="preserve">Journal of Applied Ecology</w:t>
      </w:r>
      <w:r>
        <w:t xml:space="preserve">,</w:t>
      </w:r>
      <w:r>
        <w:t xml:space="preserve"> </w:t>
      </w:r>
      <w:r>
        <w:rPr>
          <w:iCs/>
          <w:i/>
        </w:rPr>
        <w:t xml:space="preserve">52</w:t>
      </w:r>
      <w:r>
        <w:t xml:space="preserve">, 1293–1310.</w:t>
      </w:r>
      <w:r>
        <w:t xml:space="preserve"> </w:t>
      </w:r>
      <w:hyperlink r:id="rId148">
        <w:r>
          <w:rPr>
            <w:rStyle w:val="Hyperlink"/>
          </w:rPr>
          <w:t xml:space="preserve">https://doi.org/10.1111/1365-2664.12482</w:t>
        </w:r>
      </w:hyperlink>
    </w:p>
    <w:bookmarkEnd w:id="149"/>
    <w:bookmarkStart w:id="151" w:name="ref-mucina2016"/>
    <w:p>
      <w:pPr>
        <w:pStyle w:val="Literaturverzeichnis"/>
      </w:pPr>
      <w:r>
        <w:t xml:space="preserve">Mucina, L., Bültmann, H., Dierßen, K., Theurillat, J.-P., Raus, T., Čarni, A., Šumberová, K., Willner, W., Dengler, J., García, R. G., Chytrý, M., Hájek, M., Di Pietro, R., Iakushenko, D., Pallas, J., Daniëls, F. J. A., Bergmeier, E., Santos Guerra, A., Ermakov, N., … Tichý, L. (2016). Vegetation of Europe: hierarchical floristic classification system of vascular plant, bryophyte, lichen, and algal communities.</w:t>
      </w:r>
      <w:r>
        <w:t xml:space="preserve"> </w:t>
      </w:r>
      <w:r>
        <w:rPr>
          <w:iCs/>
          <w:i/>
        </w:rPr>
        <w:t xml:space="preserve">Applied Vegetation Science</w:t>
      </w:r>
      <w:r>
        <w:t xml:space="preserve">,</w:t>
      </w:r>
      <w:r>
        <w:t xml:space="preserve"> </w:t>
      </w:r>
      <w:r>
        <w:rPr>
          <w:iCs/>
          <w:i/>
        </w:rPr>
        <w:t xml:space="preserve">19</w:t>
      </w:r>
      <w:r>
        <w:t xml:space="preserve">, 3–264.</w:t>
      </w:r>
      <w:r>
        <w:t xml:space="preserve"> </w:t>
      </w:r>
      <w:hyperlink r:id="rId150">
        <w:r>
          <w:rPr>
            <w:rStyle w:val="Hyperlink"/>
          </w:rPr>
          <w:t xml:space="preserve">https://doi.org/10.1111/avsc.12257</w:t>
        </w:r>
      </w:hyperlink>
    </w:p>
    <w:bookmarkEnd w:id="151"/>
    <w:bookmarkStart w:id="153" w:name="ref-myers2009"/>
    <w:p>
      <w:pPr>
        <w:pStyle w:val="Literaturverzeichnis"/>
      </w:pPr>
      <w:r>
        <w:t xml:space="preserve">Myers, J. A., &amp; Harms, K. E. (2009). Seed arrival, ecological filters, and plant species richness: A meta-analysis.</w:t>
      </w:r>
      <w:r>
        <w:t xml:space="preserve"> </w:t>
      </w:r>
      <w:r>
        <w:rPr>
          <w:iCs/>
          <w:i/>
        </w:rPr>
        <w:t xml:space="preserve">Ecology Letters</w:t>
      </w:r>
      <w:r>
        <w:t xml:space="preserve">,</w:t>
      </w:r>
      <w:r>
        <w:t xml:space="preserve"> </w:t>
      </w:r>
      <w:r>
        <w:rPr>
          <w:iCs/>
          <w:i/>
        </w:rPr>
        <w:t xml:space="preserve">12</w:t>
      </w:r>
      <w:r>
        <w:t xml:space="preserve">, 1250–1260.</w:t>
      </w:r>
      <w:r>
        <w:t xml:space="preserve"> </w:t>
      </w:r>
      <w:hyperlink r:id="rId152">
        <w:r>
          <w:rPr>
            <w:rStyle w:val="Hyperlink"/>
          </w:rPr>
          <w:t xml:space="preserve">https://doi.org/10.1111/j.1461-0248.2009.01373.x</w:t>
        </w:r>
      </w:hyperlink>
    </w:p>
    <w:bookmarkEnd w:id="153"/>
    <w:bookmarkStart w:id="155" w:name="ref-nerlekar2020"/>
    <w:p>
      <w:pPr>
        <w:pStyle w:val="Literaturverzeichnis"/>
      </w:pPr>
      <w:r>
        <w:t xml:space="preserve">Nerlekar, A. N., &amp; Veldman, J. W. (2020). High plant diversity and slow assembly of old-growth grasslands.</w:t>
      </w:r>
      <w:r>
        <w:t xml:space="preserve"> </w:t>
      </w:r>
      <w:r>
        <w:rPr>
          <w:iCs/>
          <w:i/>
        </w:rPr>
        <w:t xml:space="preserve">Proceedings of the National Academy of Sciences</w:t>
      </w:r>
      <w:r>
        <w:t xml:space="preserve">,</w:t>
      </w:r>
      <w:r>
        <w:t xml:space="preserve"> </w:t>
      </w:r>
      <w:r>
        <w:rPr>
          <w:iCs/>
          <w:i/>
        </w:rPr>
        <w:t xml:space="preserve">117</w:t>
      </w:r>
      <w:r>
        <w:t xml:space="preserve">, 18550–18556.</w:t>
      </w:r>
      <w:r>
        <w:t xml:space="preserve"> </w:t>
      </w:r>
      <w:hyperlink r:id="rId154">
        <w:r>
          <w:rPr>
            <w:rStyle w:val="Hyperlink"/>
          </w:rPr>
          <w:t xml:space="preserve">https://doi.org/10.1073/pnas.1922266117</w:t>
        </w:r>
      </w:hyperlink>
    </w:p>
    <w:bookmarkEnd w:id="155"/>
    <w:bookmarkStart w:id="156" w:name="ref-Oberdorfer.1993"/>
    <w:p>
      <w:pPr>
        <w:pStyle w:val="Literaturverzeichnis"/>
      </w:pPr>
      <w:r>
        <w:t xml:space="preserve">Oberdorfer, E. (1993).</w:t>
      </w:r>
      <w:r>
        <w:t xml:space="preserve"> </w:t>
      </w:r>
      <w:r>
        <w:rPr>
          <w:iCs/>
          <w:i/>
        </w:rPr>
        <w:t xml:space="preserve">Süddeutsche Pflanzengesellschaften. Teil II und III</w:t>
      </w:r>
      <w:r>
        <w:t xml:space="preserve"> </w:t>
      </w:r>
      <w:r>
        <w:t xml:space="preserve">(3rd ed.). Gustav Fischer, Stuttgart. ISBN 3334604357.</w:t>
      </w:r>
    </w:p>
    <w:bookmarkEnd w:id="156"/>
    <w:bookmarkStart w:id="158" w:name="ref-vegan"/>
    <w:p>
      <w:pPr>
        <w:pStyle w:val="Literaturverzeichnis"/>
      </w:pPr>
      <w:r>
        <w:t xml:space="preserve">Oksanen, J., Simpson, G. L., Blanchet, F. G., Kindt, R., Legendre, P., Minchin, P. R., O’Hara, R. B., Solymos, P., Stevens, M. H. H., Szoecs, E., Wagner, H., Barbour, M., Bedward, M., Bolker, B., Borcard, D., Carvalho, G., Chirico, M., De Caceres, M., Durand, S., … Weedon, J. (2022).</w:t>
      </w:r>
      <w:r>
        <w:t xml:space="preserve"> </w:t>
      </w:r>
      <w:r>
        <w:rPr>
          <w:iCs/>
          <w:i/>
        </w:rPr>
        <w:t xml:space="preserve">vegan</w:t>
      </w:r>
      <w:r>
        <w:rPr>
          <w:iCs/>
          <w:i/>
        </w:rPr>
        <w:t xml:space="preserve">: Community ecology package</w:t>
      </w:r>
      <w:r>
        <w:t xml:space="preserve">.</w:t>
      </w:r>
      <w:r>
        <w:t xml:space="preserve"> </w:t>
      </w:r>
      <w:hyperlink r:id="rId157">
        <w:r>
          <w:rPr>
            <w:rStyle w:val="Hyperlink"/>
          </w:rPr>
          <w:t xml:space="preserve">https://CRAN.R-project.org/package=vegan</w:t>
        </w:r>
      </w:hyperlink>
    </w:p>
    <w:bookmarkEnd w:id="158"/>
    <w:bookmarkStart w:id="160" w:name="ref-orrock2023"/>
    <w:p>
      <w:pPr>
        <w:pStyle w:val="Literaturverzeichnis"/>
      </w:pPr>
      <w:r>
        <w:t xml:space="preserve">Orrock, J. L., Brudvig, L. A., Damschen, E. I., Mattingly, W. B., Cruz, J., Veldman, J. W., Hahn, P. G., &amp; Larsen-Gray, A. L. (2023). Long-term, large-scale experiment reveals the effects of seed limitation, climate, and anthropogenic disturbance on restoration of plant communities in a biodiversity hotspot.</w:t>
      </w:r>
      <w:r>
        <w:t xml:space="preserve"> </w:t>
      </w:r>
      <w:r>
        <w:rPr>
          <w:iCs/>
          <w:i/>
        </w:rPr>
        <w:t xml:space="preserve">Proceedings of the National Academy of Sciences</w:t>
      </w:r>
      <w:r>
        <w:t xml:space="preserve">,</w:t>
      </w:r>
      <w:r>
        <w:t xml:space="preserve"> </w:t>
      </w:r>
      <w:r>
        <w:rPr>
          <w:iCs/>
          <w:i/>
        </w:rPr>
        <w:t xml:space="preserve">120</w:t>
      </w:r>
      <w:r>
        <w:t xml:space="preserve">, e2201943119.</w:t>
      </w:r>
      <w:r>
        <w:t xml:space="preserve"> </w:t>
      </w:r>
      <w:hyperlink r:id="rId159">
        <w:r>
          <w:rPr>
            <w:rStyle w:val="Hyperlink"/>
          </w:rPr>
          <w:t xml:space="preserve">https://doi.org/10.1073/pnas.2201943119</w:t>
        </w:r>
      </w:hyperlink>
    </w:p>
    <w:bookmarkEnd w:id="160"/>
    <w:bookmarkStart w:id="162" w:name="ref-base"/>
    <w:p>
      <w:pPr>
        <w:pStyle w:val="Literaturverzeichnis"/>
      </w:pPr>
      <w:r>
        <w:t xml:space="preserve">R Core Team. (2022).</w:t>
      </w:r>
      <w:r>
        <w:t xml:space="preserve"> </w:t>
      </w:r>
      <w:r>
        <w:rPr>
          <w:iCs/>
          <w:i/>
        </w:rPr>
        <w:t xml:space="preserve">R: A language and environment for statistical computing</w:t>
      </w:r>
      <w:r>
        <w:t xml:space="preserve">.</w:t>
      </w:r>
      <w:r>
        <w:t xml:space="preserve"> </w:t>
      </w:r>
      <w:hyperlink r:id="rId161">
        <w:r>
          <w:rPr>
            <w:rStyle w:val="Hyperlink"/>
          </w:rPr>
          <w:t xml:space="preserve">https://www.R-project.org/</w:t>
        </w:r>
      </w:hyperlink>
    </w:p>
    <w:bookmarkEnd w:id="162"/>
    <w:bookmarkStart w:id="164" w:name="ref-Rydgren.2019"/>
    <w:p>
      <w:pPr>
        <w:pStyle w:val="Literaturverzeichnis"/>
      </w:pPr>
      <w:r>
        <w:t xml:space="preserve">Rydgren, K., Halvorsen, R., Töpper, J. P., Auestad, I., Hamre, L. N., Jongejans, E., &amp; Sulavik, J. (2019). Advancing restoration ecology: A new approach to predict time to recovery.</w:t>
      </w:r>
      <w:r>
        <w:t xml:space="preserve"> </w:t>
      </w:r>
      <w:r>
        <w:rPr>
          <w:iCs/>
          <w:i/>
        </w:rPr>
        <w:t xml:space="preserve">Journal of Applied Ecology</w:t>
      </w:r>
      <w:r>
        <w:t xml:space="preserve">,</w:t>
      </w:r>
      <w:r>
        <w:t xml:space="preserve"> </w:t>
      </w:r>
      <w:r>
        <w:rPr>
          <w:iCs/>
          <w:i/>
        </w:rPr>
        <w:t xml:space="preserve">56</w:t>
      </w:r>
      <w:r>
        <w:t xml:space="preserve">, 225–234.</w:t>
      </w:r>
      <w:r>
        <w:t xml:space="preserve"> </w:t>
      </w:r>
      <w:hyperlink r:id="rId163">
        <w:r>
          <w:rPr>
            <w:rStyle w:val="Hyperlink"/>
          </w:rPr>
          <w:t xml:space="preserve">https://doi.org/10.1111/1365-2664.13254</w:t>
        </w:r>
      </w:hyperlink>
    </w:p>
    <w:bookmarkEnd w:id="164"/>
    <w:bookmarkStart w:id="166" w:name="ref-Sabatini.2021"/>
    <w:p>
      <w:pPr>
        <w:pStyle w:val="Literaturverzeichnis"/>
      </w:pPr>
      <w:r>
        <w:t xml:space="preserve">Sabatini, F. M., Lenoir, J., Hattab, T., Arnst, E. A., Chytrý, M., Dengler, J., Ruffray, P. de, Hennekens, S. M., Jandt, U., Jansen, F., Jiménez-Alfaro, B., Kattge, J., Levesley, A., Pillar, V. D., Purschke, O., Sandel, B., Sultana, F., Aavik, T., Aćić, S., … Bates, A. (2021). sPlotOpen – an environmentally balanced, open</w:t>
      </w:r>
      <w:r>
        <w:t xml:space="preserve">-</w:t>
      </w:r>
      <w:r>
        <w:t xml:space="preserve">access, global dataset of vegetation plots.</w:t>
      </w:r>
      <w:r>
        <w:t xml:space="preserve"> </w:t>
      </w:r>
      <w:r>
        <w:rPr>
          <w:iCs/>
          <w:i/>
        </w:rPr>
        <w:t xml:space="preserve">Global Ecology and Biogeography</w:t>
      </w:r>
      <w:r>
        <w:t xml:space="preserve">,</w:t>
      </w:r>
      <w:r>
        <w:t xml:space="preserve"> </w:t>
      </w:r>
      <w:r>
        <w:rPr>
          <w:iCs/>
          <w:i/>
        </w:rPr>
        <w:t xml:space="preserve">30</w:t>
      </w:r>
      <w:r>
        <w:t xml:space="preserve">, 1740–1764.</w:t>
      </w:r>
      <w:r>
        <w:t xml:space="preserve"> </w:t>
      </w:r>
      <w:hyperlink r:id="rId165">
        <w:r>
          <w:rPr>
            <w:rStyle w:val="Hyperlink"/>
          </w:rPr>
          <w:t xml:space="preserve">https://doi.org/10.1111/geb.13346</w:t>
        </w:r>
      </w:hyperlink>
    </w:p>
    <w:bookmarkEnd w:id="166"/>
    <w:bookmarkStart w:id="168" w:name="ref-Stuble.2017"/>
    <w:p>
      <w:pPr>
        <w:pStyle w:val="Literaturverzeichnis"/>
      </w:pPr>
      <w:r>
        <w:t xml:space="preserve">Stuble, K. L., Fick, S. E., &amp; Young, T. P. (2017). Every restoration is unique: Testing year effects and site effects as drivers of initial restoration trajectories.</w:t>
      </w:r>
      <w:r>
        <w:t xml:space="preserve"> </w:t>
      </w:r>
      <w:r>
        <w:rPr>
          <w:iCs/>
          <w:i/>
        </w:rPr>
        <w:t xml:space="preserve">Journal of Applied Ecology</w:t>
      </w:r>
      <w:r>
        <w:t xml:space="preserve">,</w:t>
      </w:r>
      <w:r>
        <w:t xml:space="preserve"> </w:t>
      </w:r>
      <w:r>
        <w:rPr>
          <w:iCs/>
          <w:i/>
        </w:rPr>
        <w:t xml:space="preserve">54</w:t>
      </w:r>
      <w:r>
        <w:t xml:space="preserve">, 1051–1057.</w:t>
      </w:r>
      <w:r>
        <w:t xml:space="preserve"> </w:t>
      </w:r>
      <w:hyperlink r:id="rId167">
        <w:r>
          <w:rPr>
            <w:rStyle w:val="Hyperlink"/>
          </w:rPr>
          <w:t xml:space="preserve">https://doi.org/10.1111/1365-2664.12861</w:t>
        </w:r>
      </w:hyperlink>
    </w:p>
    <w:bookmarkEnd w:id="168"/>
    <w:bookmarkStart w:id="170" w:name="ref-Suding.2011"/>
    <w:p>
      <w:pPr>
        <w:pStyle w:val="Literaturverzeichnis"/>
      </w:pPr>
      <w:r>
        <w:t xml:space="preserve">Suding, K. N. (2011). Toward an era of restoration in ecology: Successes, failures, and opportunities ahead.</w:t>
      </w:r>
      <w:r>
        <w:t xml:space="preserve"> </w:t>
      </w:r>
      <w:r>
        <w:rPr>
          <w:iCs/>
          <w:i/>
        </w:rPr>
        <w:t xml:space="preserve">Annual Review of Ecology, Evolution, and Systematics</w:t>
      </w:r>
      <w:r>
        <w:t xml:space="preserve">,</w:t>
      </w:r>
      <w:r>
        <w:t xml:space="preserve"> </w:t>
      </w:r>
      <w:r>
        <w:rPr>
          <w:iCs/>
          <w:i/>
        </w:rPr>
        <w:t xml:space="preserve">42</w:t>
      </w:r>
      <w:r>
        <w:t xml:space="preserve">, 465–487.</w:t>
      </w:r>
      <w:r>
        <w:t xml:space="preserve"> </w:t>
      </w:r>
      <w:hyperlink r:id="rId169">
        <w:r>
          <w:rPr>
            <w:rStyle w:val="Hyperlink"/>
          </w:rPr>
          <w:t xml:space="preserve">https://doi.org/10.1146/annurev-ecolsys-102710-145115</w:t>
        </w:r>
      </w:hyperlink>
    </w:p>
    <w:bookmarkEnd w:id="170"/>
    <w:bookmarkStart w:id="172" w:name="ref-suding2004"/>
    <w:p>
      <w:pPr>
        <w:pStyle w:val="Literaturverzeichnis"/>
      </w:pPr>
      <w:r>
        <w:t xml:space="preserve">Suding, K. N., Gross, K. L., &amp; Houseman, G. R. (2004). Alternative states and positive feedbacks in restoration ecology.</w:t>
      </w:r>
      <w:r>
        <w:t xml:space="preserve"> </w:t>
      </w:r>
      <w:r>
        <w:rPr>
          <w:iCs/>
          <w:i/>
        </w:rPr>
        <w:t xml:space="preserve">Trends in Ecology and Evolution</w:t>
      </w:r>
      <w:r>
        <w:t xml:space="preserve">,</w:t>
      </w:r>
      <w:r>
        <w:t xml:space="preserve"> </w:t>
      </w:r>
      <w:r>
        <w:rPr>
          <w:iCs/>
          <w:i/>
        </w:rPr>
        <w:t xml:space="preserve">19</w:t>
      </w:r>
      <w:r>
        <w:t xml:space="preserve">, 46–53.</w:t>
      </w:r>
      <w:r>
        <w:t xml:space="preserve"> </w:t>
      </w:r>
      <w:hyperlink r:id="rId171">
        <w:r>
          <w:rPr>
            <w:rStyle w:val="Hyperlink"/>
          </w:rPr>
          <w:t xml:space="preserve">https://doi.org/10.1016/j.tree.2003.10.005</w:t>
        </w:r>
      </w:hyperlink>
    </w:p>
    <w:bookmarkEnd w:id="172"/>
    <w:bookmarkStart w:id="174" w:name="ref-teixeira2022"/>
    <w:p>
      <w:pPr>
        <w:pStyle w:val="Literaturverzeichnis"/>
      </w:pPr>
      <w:r>
        <w:t xml:space="preserve">Teixeira, L. H., Bauer, M., Moosner, M., &amp; Kollmann, J. (2022). River dike grasslands can reconcile biodiversity and different ecosystem services to provide multifunctionality.</w:t>
      </w:r>
      <w:r>
        <w:t xml:space="preserve"> </w:t>
      </w:r>
      <w:r>
        <w:rPr>
          <w:iCs/>
          <w:i/>
        </w:rPr>
        <w:t xml:space="preserve">Basic and Applied Ecology</w:t>
      </w:r>
      <w:r>
        <w:t xml:space="preserve">,</w:t>
      </w:r>
      <w:r>
        <w:t xml:space="preserve"> </w:t>
      </w:r>
      <w:r>
        <w:rPr>
          <w:iCs/>
          <w:i/>
        </w:rPr>
        <w:t xml:space="preserve">66</w:t>
      </w:r>
      <w:r>
        <w:t xml:space="preserve">, 22–30.</w:t>
      </w:r>
      <w:r>
        <w:t xml:space="preserve"> </w:t>
      </w:r>
      <w:hyperlink r:id="rId173">
        <w:r>
          <w:rPr>
            <w:rStyle w:val="Hyperlink"/>
          </w:rPr>
          <w:t xml:space="preserve">https://doi.org/10.1016/j.baae.2022.12.001</w:t>
        </w:r>
      </w:hyperlink>
    </w:p>
    <w:bookmarkEnd w:id="174"/>
    <w:bookmarkStart w:id="176" w:name="ref-tölgyesi2021"/>
    <w:p>
      <w:pPr>
        <w:pStyle w:val="Literaturverzeichnis"/>
      </w:pPr>
      <w:r>
        <w:t xml:space="preserve">Tölgyesi, C., Vadász, C., Kun, R., Csathó, A. I., Bátori, Z., Hábenczyus, A., Erdős, L., &amp; Török, P. (2021). Post</w:t>
      </w:r>
      <w:r>
        <w:t xml:space="preserve">-</w:t>
      </w:r>
      <w:r>
        <w:t xml:space="preserve">restoration grassland management overrides the effects of restoration methods in propagule</w:t>
      </w:r>
      <w:r>
        <w:t xml:space="preserve">-</w:t>
      </w:r>
      <w:r>
        <w:t xml:space="preserve">rich landscapes.</w:t>
      </w:r>
      <w:r>
        <w:t xml:space="preserve"> </w:t>
      </w:r>
      <w:r>
        <w:rPr>
          <w:iCs/>
          <w:i/>
        </w:rPr>
        <w:t xml:space="preserve">Ecological Applications</w:t>
      </w:r>
      <w:r>
        <w:t xml:space="preserve">,</w:t>
      </w:r>
      <w:r>
        <w:t xml:space="preserve"> </w:t>
      </w:r>
      <w:r>
        <w:rPr>
          <w:iCs/>
          <w:i/>
        </w:rPr>
        <w:t xml:space="preserve">32</w:t>
      </w:r>
      <w:r>
        <w:t xml:space="preserve">, e02463.</w:t>
      </w:r>
      <w:r>
        <w:t xml:space="preserve"> </w:t>
      </w:r>
      <w:hyperlink r:id="rId175">
        <w:r>
          <w:rPr>
            <w:rStyle w:val="Hyperlink"/>
          </w:rPr>
          <w:t xml:space="preserve">https://doi.org/10.1002/eap.2463</w:t>
        </w:r>
      </w:hyperlink>
    </w:p>
    <w:bookmarkEnd w:id="176"/>
    <w:bookmarkStart w:id="178" w:name="ref-Torok.2021"/>
    <w:p>
      <w:pPr>
        <w:pStyle w:val="Literaturverzeichnis"/>
      </w:pPr>
      <w:r>
        <w:t xml:space="preserve">Török, P., Brudvig, L. A., Kollmann, J., Price, J. N., &amp; Tóthmérész, B. (2021). The present and future of grassland restoration.</w:t>
      </w:r>
      <w:r>
        <w:t xml:space="preserve"> </w:t>
      </w:r>
      <w:r>
        <w:rPr>
          <w:iCs/>
          <w:i/>
        </w:rPr>
        <w:t xml:space="preserve">Restoration Ecology</w:t>
      </w:r>
      <w:r>
        <w:t xml:space="preserve">,</w:t>
      </w:r>
      <w:r>
        <w:t xml:space="preserve"> </w:t>
      </w:r>
      <w:r>
        <w:rPr>
          <w:iCs/>
          <w:i/>
        </w:rPr>
        <w:t xml:space="preserve">29</w:t>
      </w:r>
      <w:r>
        <w:t xml:space="preserve">, e13378.</w:t>
      </w:r>
      <w:r>
        <w:t xml:space="preserve"> </w:t>
      </w:r>
      <w:hyperlink r:id="rId177">
        <w:r>
          <w:rPr>
            <w:rStyle w:val="Hyperlink"/>
          </w:rPr>
          <w:t xml:space="preserve">https://doi.org/10.1111/rec.13378</w:t>
        </w:r>
      </w:hyperlink>
    </w:p>
    <w:bookmarkEnd w:id="178"/>
    <w:bookmarkStart w:id="180" w:name="ref-Torok.2017"/>
    <w:p>
      <w:pPr>
        <w:pStyle w:val="Literaturverzeichnis"/>
      </w:pPr>
      <w:r>
        <w:t xml:space="preserve">Török, P., &amp; Helm, A. (2017). Ecological theory provides strong support for habitat restoration.</w:t>
      </w:r>
      <w:r>
        <w:t xml:space="preserve"> </w:t>
      </w:r>
      <w:r>
        <w:rPr>
          <w:iCs/>
          <w:i/>
        </w:rPr>
        <w:t xml:space="preserve">Biological Conservation</w:t>
      </w:r>
      <w:r>
        <w:t xml:space="preserve">,</w:t>
      </w:r>
      <w:r>
        <w:t xml:space="preserve"> </w:t>
      </w:r>
      <w:r>
        <w:rPr>
          <w:iCs/>
          <w:i/>
        </w:rPr>
        <w:t xml:space="preserve">206</w:t>
      </w:r>
      <w:r>
        <w:t xml:space="preserve">, 85–91.</w:t>
      </w:r>
      <w:r>
        <w:t xml:space="preserve"> </w:t>
      </w:r>
      <w:hyperlink r:id="rId179">
        <w:r>
          <w:rPr>
            <w:rStyle w:val="Hyperlink"/>
          </w:rPr>
          <w:t xml:space="preserve">https://doi.org/10.1016/j.biocon.2016.12.024</w:t>
        </w:r>
      </w:hyperlink>
    </w:p>
    <w:bookmarkEnd w:id="180"/>
    <w:bookmarkStart w:id="182" w:name="ref-UnitedNations.2019b"/>
    <w:p>
      <w:pPr>
        <w:pStyle w:val="Literaturverzeichnis"/>
      </w:pPr>
      <w:r>
        <w:t xml:space="preserve">United Nations. (2019).</w:t>
      </w:r>
      <w:r>
        <w:t xml:space="preserve"> </w:t>
      </w:r>
      <w:r>
        <w:rPr>
          <w:iCs/>
          <w:i/>
        </w:rPr>
        <w:t xml:space="preserve">United Nations decade on ecosystem restoration (2021–2030): Resolution. Adopted by the general assembly: A/RES/73/284</w:t>
      </w:r>
      <w:r>
        <w:t xml:space="preserve">.</w:t>
      </w:r>
      <w:r>
        <w:t xml:space="preserve"> </w:t>
      </w:r>
      <w:hyperlink r:id="rId181">
        <w:r>
          <w:rPr>
            <w:rStyle w:val="Hyperlink"/>
          </w:rPr>
          <w:t xml:space="preserve">https://digitallibrary.un.org/record/3794317/files/A_RES_73_284-EN.pdf</w:t>
        </w:r>
      </w:hyperlink>
    </w:p>
    <w:bookmarkEnd w:id="182"/>
    <w:bookmarkStart w:id="184" w:name="ref-Wainwright.2018"/>
    <w:p>
      <w:pPr>
        <w:pStyle w:val="Literaturverzeichnis"/>
      </w:pPr>
      <w:r>
        <w:t xml:space="preserve">Wainwright, C. E., Staples, T. L., Charles, L. S., Flanagan, T. C., Lai, H. R., Loy, X., Reynolds, V. A., &amp; Mayfield, M. M. (2018). Links between community ecology theory and ecological restoration are on the rise.</w:t>
      </w:r>
      <w:r>
        <w:t xml:space="preserve"> </w:t>
      </w:r>
      <w:r>
        <w:rPr>
          <w:iCs/>
          <w:i/>
        </w:rPr>
        <w:t xml:space="preserve">Journal of Applied Ecology</w:t>
      </w:r>
      <w:r>
        <w:t xml:space="preserve">,</w:t>
      </w:r>
      <w:r>
        <w:t xml:space="preserve"> </w:t>
      </w:r>
      <w:r>
        <w:rPr>
          <w:iCs/>
          <w:i/>
        </w:rPr>
        <w:t xml:space="preserve">55</w:t>
      </w:r>
      <w:r>
        <w:t xml:space="preserve">, 570–581.</w:t>
      </w:r>
      <w:r>
        <w:t xml:space="preserve"> </w:t>
      </w:r>
      <w:hyperlink r:id="rId183">
        <w:r>
          <w:rPr>
            <w:rStyle w:val="Hyperlink"/>
          </w:rPr>
          <w:t xml:space="preserve">https://doi.org/10.1111/1365-2664.12975</w:t>
        </w:r>
      </w:hyperlink>
    </w:p>
    <w:bookmarkEnd w:id="184"/>
    <w:bookmarkStart w:id="186" w:name="ref-walker2004"/>
    <w:p>
      <w:pPr>
        <w:pStyle w:val="Literaturverzeichnis"/>
      </w:pPr>
      <w:r>
        <w:t xml:space="preserve">Walker, K. J., Stevens, P. A., Stevens, D. P., Mountford, J. O., Manchester, S. J., &amp; Pywell, R. F. (2004). The restoration and re-creation of species-rich lowland grassland on land formerly managed for intensive agriculture in the UK.</w:t>
      </w:r>
      <w:r>
        <w:t xml:space="preserve"> </w:t>
      </w:r>
      <w:r>
        <w:rPr>
          <w:iCs/>
          <w:i/>
        </w:rPr>
        <w:t xml:space="preserve">Biological Conservation</w:t>
      </w:r>
      <w:r>
        <w:t xml:space="preserve">,</w:t>
      </w:r>
      <w:r>
        <w:t xml:space="preserve"> </w:t>
      </w:r>
      <w:r>
        <w:rPr>
          <w:iCs/>
          <w:i/>
        </w:rPr>
        <w:t xml:space="preserve">119</w:t>
      </w:r>
      <w:r>
        <w:t xml:space="preserve">, 1–18.</w:t>
      </w:r>
      <w:r>
        <w:t xml:space="preserve"> </w:t>
      </w:r>
      <w:hyperlink r:id="rId185">
        <w:r>
          <w:rPr>
            <w:rStyle w:val="Hyperlink"/>
          </w:rPr>
          <w:t xml:space="preserve">https://doi.org/10.1016/j.biocon.2003.10.020</w:t>
        </w:r>
      </w:hyperlink>
    </w:p>
    <w:bookmarkEnd w:id="186"/>
    <w:bookmarkStart w:id="188" w:name="ref-Wilsey.2021"/>
    <w:p>
      <w:pPr>
        <w:pStyle w:val="Literaturverzeichnis"/>
      </w:pPr>
      <w:r>
        <w:t xml:space="preserve">Wilsey, B. (2021). Restoration in the face of changing climate: Importance of persistence, priority effects, and species diversity.</w:t>
      </w:r>
      <w:r>
        <w:t xml:space="preserve"> </w:t>
      </w:r>
      <w:r>
        <w:rPr>
          <w:iCs/>
          <w:i/>
        </w:rPr>
        <w:t xml:space="preserve">Restoration Ecology</w:t>
      </w:r>
      <w:r>
        <w:t xml:space="preserve">,</w:t>
      </w:r>
      <w:r>
        <w:t xml:space="preserve"> </w:t>
      </w:r>
      <w:r>
        <w:rPr>
          <w:iCs/>
          <w:i/>
        </w:rPr>
        <w:t xml:space="preserve">29</w:t>
      </w:r>
      <w:r>
        <w:t xml:space="preserve">, e13132.</w:t>
      </w:r>
      <w:r>
        <w:t xml:space="preserve"> </w:t>
      </w:r>
      <w:hyperlink r:id="rId187">
        <w:r>
          <w:rPr>
            <w:rStyle w:val="Hyperlink"/>
          </w:rPr>
          <w:t xml:space="preserve">https://doi.org/10.1111/rec.13132</w:t>
        </w:r>
      </w:hyperlink>
    </w:p>
    <w:bookmarkEnd w:id="188"/>
    <w:bookmarkStart w:id="190" w:name="ref-Zirbel.2020"/>
    <w:p>
      <w:pPr>
        <w:pStyle w:val="Literaturverzeichnis"/>
      </w:pPr>
      <w:r>
        <w:t xml:space="preserve">Zirbel, C. R., &amp; Brudvig, L. A. (2020). Trait-environment interactions affect plant establishment success during restoration.</w:t>
      </w:r>
      <w:r>
        <w:t xml:space="preserve"> </w:t>
      </w:r>
      <w:r>
        <w:rPr>
          <w:iCs/>
          <w:i/>
        </w:rPr>
        <w:t xml:space="preserve">Ecology</w:t>
      </w:r>
      <w:r>
        <w:t xml:space="preserve">,</w:t>
      </w:r>
      <w:r>
        <w:t xml:space="preserve"> </w:t>
      </w:r>
      <w:r>
        <w:rPr>
          <w:iCs/>
          <w:i/>
        </w:rPr>
        <w:t xml:space="preserve">101</w:t>
      </w:r>
      <w:r>
        <w:t xml:space="preserve">, e02971.</w:t>
      </w:r>
      <w:r>
        <w:t xml:space="preserve"> </w:t>
      </w:r>
      <w:hyperlink r:id="rId189">
        <w:r>
          <w:rPr>
            <w:rStyle w:val="Hyperlink"/>
          </w:rPr>
          <w:t xml:space="preserve">https://doi.org/10.1002/ecy.2971</w:t>
        </w:r>
      </w:hyperlink>
    </w:p>
    <w:bookmarkEnd w:id="190"/>
    <w:bookmarkEnd w:id="191"/>
    <w:p>
      <w:r>
        <w:br w:type="page"/>
      </w:r>
    </w:p>
    <w:p>
      <w:pPr>
        <w:sectPr w:officer="true">
          <w:type w:val="continuous"/>
          <w:cols/>
          <w:pgSz w:h="15840" w:w="12240"/>
          <w:pgMar w:bottom="1440" w:footer="720" w:gutter="0" w:header="720" w:left="1440" w:right="1440" w:top="1440"/>
        </w:sectPr>
      </w:pPr>
    </w:p>
    <w:bookmarkEnd w:id="192"/>
    <w:bookmarkStart w:id="195" w:name="tables"/>
    <w:p>
      <w:pPr>
        <w:pStyle w:val="berschrift1"/>
      </w:pPr>
      <w:r>
        <w:t xml:space="preserve">Tables</w:t>
      </w:r>
    </w:p>
    <w:bookmarkStart w:id="193" w:name="table-1"/>
    <w:p>
      <w:pPr>
        <w:pStyle w:val="berschrift2"/>
      </w:pPr>
      <w:r>
        <w:t xml:space="preserve">Table 1</w:t>
      </w:r>
    </w:p>
    <w:p xmlns:w14="http://schemas.microsoft.com/office/word/2010/wordml">
      <w:pPr>
        <w:pStyle w:val="TableCaption"/>
        <w:jc w:val="left"/>
        <w:keepNext/>
      </w:pPr>
      <w:r>
        <w:rPr>
          <w:rFonts/>
          <w:b w:val="true"/>
        </w:rPr>
        <w:t xml:space="preserve">Table </w:t>
      </w:r>
      <w:bookmarkStart w:id="bddf994e-bf58-422f-a46e-fdb10fb8b582" w:name="seedmix"/>
      <w:r>
        <w:rPr>
          <w:rFonts/>
          <w:b w:val="true"/>
        </w:rPr>
        <w:fldChar w:fldCharType="begin" w:dirty="true"/>
      </w:r>
      <w:r>
        <w:rPr>
          <w:rFonts/>
          <w:b w:val="true"/>
        </w:rPr>
        <w:instrText xml:space="preserve" w:dirty="true">SEQ tab \* Arabic</w:instrText>
      </w:r>
      <w:r>
        <w:rPr>
          <w:rFonts/>
          <w:b w:val="true"/>
        </w:rPr>
        <w:fldChar w:fldCharType="end" w:dirty="true"/>
      </w:r>
      <w:bookmarkEnd w:id="bddf994e-bf58-422f-a46e-fdb10fb8b582"/>
      <w:r>
        <w:rPr>
          <w:rFonts/>
          <w:b w:val="true"/>
        </w:rPr>
        <w:t xml:space="preserve">: </w:t>
      </w:r>
      <w:r>
        <w:t xml:space="preserve">Each plot received an individual set of twenty species with some restrictions to the number of species per functional group. The total species pool for hay meadows was 55 and for dry grassland 58. In total, plots received 16 or 32 g of seeds. All individual seed mixtures are stored in Appendix A2.</w:t>
      </w:r>
    </w:p>
    <w:tbl xmlns:w14="http://schemas.microsoft.com/office/word/2010/wordml">
      <w:tblPr>
        <w:tblLayout w:type="fixed"/>
        <w:jc w:val="start"/>
        <w:tblLook w:firstRow="1" w:lastRow="0" w:firstColumn="0" w:lastColumn="0" w:noHBand="0" w:noVBand="1"/>
      </w:tblPr>
      <w:tblGrid>
        <w:gridCol w:w="2043"/>
        <w:gridCol w:w="1577"/>
        <w:gridCol w:w="1639"/>
        <w:gridCol w:w="1651"/>
        <w:gridCol w:w="1419"/>
        <w:gridCol w:w="1999"/>
      </w:tblGrid>
      <w:tr>
        <w:trPr>
          <w:trHeight w:val="607" w:hRule="auto"/>
          <w:tblHeader/>
        </w:trPr>
        header1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Functional group</w:t>
            </w:r>
          </w:p>
        </w:tc>
        <w:tc>
          <w:tcPr>
            <w:gridSpan w:val="2"/>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Species pool</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Seed mixture</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Total ratio</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Ratio per species</w:t>
            </w:r>
          </w:p>
        </w:tc>
      </w:tr>
      <w:tr>
        <w:trPr>
          <w:trHeight w:val="611" w:hRule="auto"/>
          <w:tblHeader/>
        </w:trPr>
        header2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Hay meadow</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Dry grassland</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r>
      <w:tr>
        <w:trPr>
          <w:trHeight w:val="566" w:hRule="auto"/>
          <w:tblHeader/>
        </w:trPr>
        header3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wt%</w:t>
            </w:r>
          </w:p>
        </w:tc>
      </w:tr>
      <w:tr>
        <w:trPr>
          <w:trHeight w:val="61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High grasses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8.6</w:t>
            </w:r>
          </w:p>
        </w:tc>
      </w:tr>
      <w:tr>
        <w:trPr>
          <w:trHeight w:val="6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Low grasses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8.6</w:t>
            </w:r>
          </w:p>
        </w:tc>
      </w:tr>
      <w:tr>
        <w:trPr>
          <w:trHeight w:val="6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Legumes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1.7</w:t>
            </w:r>
          </w:p>
        </w:tc>
      </w:tr>
      <w:tr>
        <w:trPr>
          <w:trHeight w:val="56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3.3</w:t>
            </w:r>
          </w:p>
        </w:tc>
      </w:tr>
      <w:tr>
        <w:trPr>
          <w:trHeight w:val="61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Hemiparasites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r>
    </w:tbl>
    <w:p>
      <w:r>
        <w:br w:type="page"/>
      </w:r>
    </w:p>
    <w:bookmarkEnd w:id="193"/>
    <w:bookmarkStart w:id="194" w:name="table-2"/>
    <w:p>
      <w:pPr>
        <w:pStyle w:val="berschrift2"/>
      </w:pPr>
      <w:r>
        <w:t xml:space="preserve">Table 2</w:t>
      </w:r>
    </w:p>
    <w:p>
      <w:pPr>
        <w:pStyle w:val="FirstParagraph"/>
      </w:pPr>
      <w:r>
        <w:t xml:space="preserve">Characteristics of the substrates used for the sowing experiment on river dikes. Soil samples of the three substrates were analyzed for the fraction &lt; 2 mm. The soil texture was classified according to the</w:t>
      </w:r>
      <w:r>
        <w:t xml:space="preserve"> </w:t>
      </w:r>
      <w:r>
        <w:t xml:space="preserve">‘</w:t>
      </w:r>
      <w:r>
        <w:t xml:space="preserve">Bodenkundliche Kartieranleitung</w:t>
      </w:r>
      <w:r>
        <w:t xml:space="preserve">’</w:t>
      </w:r>
      <w:r>
        <w:t xml:space="preserve"> </w:t>
      </w:r>
      <w:r>
        <w:t xml:space="preserve">(Bundesanstalt für Geowissenschaften und Rohstoffe, 2005)</w:t>
      </w:r>
      <w:r>
        <w:t xml:space="preserve">. The pH was measured in CaCl</w:t>
      </w:r>
      <w:r>
        <w:rPr>
          <w:vertAlign w:val="subscript"/>
        </w:rPr>
        <w:t xml:space="preserve">2</w:t>
      </w:r>
      <w:r>
        <w:t xml:space="preserve"> </w:t>
      </w:r>
      <w:r>
        <w:t xml:space="preserve">solution. Plant available phosphorus and potassium were measured in a calcium acetate-lactate extract and magnesium in a CaCl</w:t>
      </w:r>
      <w:r>
        <w:rPr>
          <w:vertAlign w:val="subscript"/>
        </w:rPr>
        <w:t xml:space="preserve">2</w:t>
      </w:r>
      <w:r>
        <w:t xml:space="preserve"> </w:t>
      </w:r>
      <w:r>
        <w:t xml:space="preserve">extract. For calculating CaCO</w:t>
      </w:r>
      <w:r>
        <w:rPr>
          <w:vertAlign w:val="subscript"/>
        </w:rPr>
        <w:t xml:space="preserve">3</w:t>
      </w:r>
      <w:r>
        <w:t xml:space="preserve">, a sub-sample was annealed at 550 °C and the measured C amount multiplied with 8.33. To calculate total N and the C/N ratio, a sub-sample was incinerated at 1000 °C. Lt3 = medium clayey loam; Ls4 = strong sandy loam; Sl3 = medium loamy sand; Sl4 = strong loamy sand.</w:t>
      </w:r>
    </w:p>
    <w:p xmlns:w14="http://schemas.microsoft.com/office/word/2010/wordml">
      <w:pPr>
        <w:pStyle w:val="TableCaption"/>
        <w:jc w:val="left"/>
        <w:keepNext/>
      </w:pPr>
      <w:r>
        <w:rPr>
          <w:rFonts/>
          <w:b w:val="true"/>
        </w:rPr>
        <w:t xml:space="preserve">Table </w:t>
      </w:r>
      <w:bookmarkStart w:id="704796ed-1d80-44d4-a6ad-2390ac59227c" w:name="substrate"/>
      <w:r>
        <w:rPr>
          <w:rFonts/>
          <w:b w:val="true"/>
        </w:rPr>
        <w:fldChar w:fldCharType="begin" w:dirty="true"/>
      </w:r>
      <w:r>
        <w:rPr>
          <w:rFonts/>
          <w:b w:val="true"/>
        </w:rPr>
        <w:instrText xml:space="preserve" w:dirty="true">SEQ tab \* Arabic</w:instrText>
      </w:r>
      <w:r>
        <w:rPr>
          <w:rFonts/>
          <w:b w:val="true"/>
        </w:rPr>
        <w:fldChar w:fldCharType="end" w:dirty="true"/>
      </w:r>
      <w:bookmarkEnd w:id="704796ed-1d80-44d4-a6ad-2390ac59227c"/>
      <w:r>
        <w:rPr>
          <w:rFonts/>
          <w:b w:val="true"/>
        </w:rPr>
        <w:t xml:space="preserve">: </w:t>
      </w:r>
      <w:r>
        <w:t xml:space="preserve">Substrates</w:t>
      </w:r>
    </w:p>
    <w:tbl xmlns:w14="http://schemas.microsoft.com/office/word/2010/wordml">
      <w:tblPr>
        <w:tblLayout w:type="autofit"/>
        <w:jc w:val="start"/>
        <w:tblW w:type="pct" w:w="5000"/>
        <w:tblLook w:firstRow="1" w:lastRow="0" w:firstColumn="0" w:lastColumn="0" w:noHBand="0" w:noVBand="1"/>
      </w:tblPr>
      <w:tr>
        <w:trPr>
          <w:trHeight w:val="360" w:hRule="auto"/>
          <w:tblHeader/>
        </w:trPr>
        header1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Exposition</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Sand admixture</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Skeleton (&gt;2 mm)</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Sand</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Silt</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Clay</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Soil texture</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pH</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N</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P</w:t>
            </w:r>
            <w:r>
              <w:rPr>
                <w:rFonts w:ascii="Times New Roman" w:hAnsi="Arial" w:eastAsia="Arial" w:cs="Arial"/>
                <w:i w:val="false"/>
                <w:b w:val="true"/>
                <w:u w:val="none"/>
                <w:vertAlign w:val="subscript"/>
                <w:sz w:val="22"/>
                <w:szCs w:val="22"/>
                <w:color w:val="000000"/>
              </w:rPr>
              <w:t xml:space="preserve">2</w:t>
            </w:r>
            <w:r>
              <w:rPr>
                <w:rFonts w:ascii="Times New Roman" w:hAnsi="Arial" w:eastAsia="Arial" w:cs="Arial"/>
                <w:i w:val="false"/>
                <w:b w:val="true"/>
                <w:u w:val="none"/>
                <w:sz w:val="22"/>
                <w:szCs w:val="22"/>
                <w:color w:val="000000"/>
              </w:rPr>
              <w:t xml:space="preserve">O</w:t>
            </w:r>
            <w:r>
              <w:rPr>
                <w:rFonts w:ascii="Times New Roman" w:hAnsi="Arial" w:eastAsia="Arial" w:cs="Arial"/>
                <w:i w:val="false"/>
                <w:b w:val="true"/>
                <w:u w:val="none"/>
                <w:vertAlign w:val="subscript"/>
                <w:sz w:val="22"/>
                <w:szCs w:val="22"/>
                <w:color w:val="000000"/>
              </w:rPr>
              <w:t xml:space="preserve">5</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K</w:t>
            </w:r>
            <w:r>
              <w:rPr>
                <w:rFonts w:ascii="Times New Roman" w:hAnsi="Arial" w:eastAsia="Arial" w:cs="Arial"/>
                <w:i w:val="false"/>
                <w:b w:val="true"/>
                <w:u w:val="none"/>
                <w:vertAlign w:val="subscript"/>
                <w:sz w:val="22"/>
                <w:szCs w:val="22"/>
                <w:color w:val="000000"/>
              </w:rPr>
              <w:t xml:space="preserve">2</w:t>
            </w:r>
            <w:r>
              <w:rPr>
                <w:rFonts w:ascii="Times New Roman" w:hAnsi="Arial" w:eastAsia="Arial" w:cs="Arial"/>
                <w:i w:val="false"/>
                <w:b w:val="true"/>
                <w:u w:val="none"/>
                <w:sz w:val="22"/>
                <w:szCs w:val="22"/>
                <w:color w:val="000000"/>
              </w:rPr>
              <w:t xml:space="preserve">O</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w:t>
            </w:r>
            <w:r>
              <w:rPr>
                <w:rFonts w:ascii="Times New Roman" w:hAnsi="Arial" w:eastAsia="Arial" w:cs="Arial"/>
                <w:i w:val="false"/>
                <w:b w:val="true"/>
                <w:u w:val="none"/>
                <w:vertAlign w:val="superscript"/>
                <w:sz w:val="22"/>
                <w:szCs w:val="22"/>
                <w:color w:val="000000"/>
              </w:rPr>
              <w:t xml:space="preserve">2+</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C/N</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CaCO</w:t>
            </w:r>
            <w:r>
              <w:rPr>
                <w:rFonts w:ascii="Times New Roman" w:hAnsi="Arial" w:eastAsia="Arial" w:cs="Arial"/>
                <w:i w:val="false"/>
                <w:b w:val="true"/>
                <w:u w:val="none"/>
                <w:vertAlign w:val="subscript"/>
                <w:sz w:val="22"/>
                <w:szCs w:val="22"/>
                <w:color w:val="000000"/>
              </w:rPr>
              <w:t xml:space="preserve">3</w:t>
            </w:r>
          </w:p>
        </w:tc>
      </w:tr>
      <w:tr>
        <w:trPr>
          <w:trHeight w:val="360" w:hRule="auto"/>
          <w:tblHeader/>
        </w:trPr>
        header2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vol%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vol%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 100 g</w:t>
            </w:r>
            <w:r>
              <w:rPr>
                <w:rFonts w:ascii="Times New Roman" w:hAnsi="Arial" w:eastAsia="Arial" w:cs="Arial"/>
                <w:i w:val="false"/>
                <w:b w:val="true"/>
                <w:u w:val="none"/>
                <w:vertAlign w:val="superscript"/>
                <w:sz w:val="22"/>
                <w:szCs w:val="22"/>
                <w:color w:val="000000"/>
              </w:rPr>
              <w:t xml:space="preserve">−1</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 100 g</w:t>
            </w:r>
            <w:r>
              <w:rPr>
                <w:rFonts w:ascii="Times New Roman" w:hAnsi="Arial" w:eastAsia="Arial" w:cs="Arial"/>
                <w:i w:val="false"/>
                <w:b w:val="true"/>
                <w:u w:val="none"/>
                <w:vertAlign w:val="superscript"/>
                <w:sz w:val="22"/>
                <w:szCs w:val="22"/>
                <w:color w:val="000000"/>
              </w:rPr>
              <w:t xml:space="preserve">−1</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mg 100 g</w:t>
            </w:r>
            <w:r>
              <w:rPr>
                <w:rFonts w:ascii="Times New Roman" w:hAnsi="Arial" w:eastAsia="Arial" w:cs="Arial"/>
                <w:i w:val="false"/>
                <w:b w:val="true"/>
                <w:u w:val="none"/>
                <w:vertAlign w:val="superscript"/>
                <w:sz w:val="22"/>
                <w:szCs w:val="22"/>
                <w:color w:val="000000"/>
              </w:rPr>
              <w:t xml:space="preserve">−1</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true"/>
                <w:u w:val="none"/>
                <w:sz w:val="22"/>
                <w:szCs w:val="22"/>
                <w:color w:val="000000"/>
              </w:rPr>
              <w:t xml:space="preserve">wt%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North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Lt3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12.1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Sl3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South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Ls4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7.3</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Sl4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Times New Roman" w:hAnsi="Arial" w:eastAsia="Arial" w:cs="Arial"/>
                <w:i w:val="false"/>
                <w:b w:val="false"/>
                <w:u w:val="none"/>
                <w:sz w:val="22"/>
                <w:szCs w:val="22"/>
                <w:color w:val="000000"/>
              </w:rPr>
              <w:t xml:space="preserve">7.3</w:t>
            </w:r>
          </w:p>
        </w:tc>
      </w:tr>
    </w:tbl>
    <w:p>
      <w:r>
        <w:br w:type="page"/>
      </w:r>
    </w:p>
    <w:p>
      <w:pPr>
        <w:sectPr w:officer="true">
          <w:pgSz w:h="11906" w:w="16838" w:orient="landscape"/>
          <w:type w:val="oddPage"/>
          <w:cols/>
          <w:pgMar w:bottom="1440" w:footer="720" w:gutter="0" w:header="720" w:left="1440" w:right="1440" w:top="1440"/>
        </w:sectPr>
      </w:pPr>
    </w:p>
    <w:bookmarkEnd w:id="194"/>
    <w:bookmarkEnd w:id="195"/>
    <w:bookmarkStart w:id="202" w:name="figures"/>
    <w:p>
      <w:pPr>
        <w:pStyle w:val="berschrift1"/>
      </w:pPr>
      <w:r>
        <w:t xml:space="preserve">Figures</w:t>
      </w:r>
    </w:p>
    <w:bookmarkStart w:id="196" w:name="figure-1"/>
    <w:p>
      <w:pPr>
        <w:pStyle w:val="berschrift2"/>
      </w:pPr>
      <w:r>
        <w:t xml:space="preserve">Figure 1</w:t>
      </w:r>
    </w:p>
    <w:p>
      <w:pPr>
        <w:jc w:val="center"/>
        <w:pStyle w:val="Figure"/>
      </w:pPr>
      <w:r>
        <w:rPr/>
        <w:drawing>
          <wp:inline distT="0" distB="0" distL="0" distR="0">
            <wp:extent cx="4572000" cy="5876849"/>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90"/>
                    <a:stretch>
                      <a:fillRect/>
                    </a:stretch>
                  </pic:blipFill>
                  <pic:spPr bwMode="auto">
                    <a:xfrm>
                      <a:off x="0" y="0"/>
                      <a:ext cx="63500" cy="81623"/>
                    </a:xfrm>
                    <a:prstGeom prst="rect">
                      <a:avLst/>
                    </a:prstGeom>
                    <a:noFill/>
                  </pic:spPr>
                </pic:pic>
              </a:graphicData>
            </a:graphic>
          </wp:inline>
        </w:drawing>
      </w:r>
    </w:p>
    <w:p>
      <w:pPr>
        <w:pStyle w:val="ImageCaption"/>
      </w:pPr>
      <w:r>
        <w:rPr>
          <w:rFonts/>
          <w:b w:val="true"/>
        </w:rPr>
        <w:t xml:space="preserve">Figure </w:t>
      </w:r>
      <w:bookmarkStart w:id="dc29b1c9-e557-47c5-bf04-635fb91057ff" w:name="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c29b1c9-e557-47c5-bf04-635fb91057ff"/>
      <w:r>
        <w:rPr>
          <w:rFonts/>
          <w:b w:val="true"/>
        </w:rPr>
        <w:t xml:space="preserve">: </w:t>
      </w:r>
    </w:p>
    <w:p>
      <w:pPr>
        <w:pStyle w:val="Textkrper"/>
      </w:pPr>
      <w:r>
        <w:t xml:space="preserve">Local setting and design of the multifactorial experiment on grassland sowing at dikes. The experiment was located on a dike at the Danube River in SE Germany. The 288 plots were allocated in six blocks (white squares on the upper photo) and on the north and south slope (central photo)</w:t>
      </w:r>
      <w:r>
        <w:t xml:space="preserve"> </w:t>
      </w:r>
      <w:r>
        <w:t xml:space="preserve">(Both aerial photos: Bayerische Vermessungsverwaltung, 2023)</w:t>
      </w:r>
      <w:r>
        <w:t xml:space="preserve">. Four treatments were conducted: sand admixture, substrate depth, seed density, and seed mixture types H and D (hay meadows, dry grasslands). The western half of a block was with a shallow substrate depth and within this, half of the substrates had different sand admixtures. The photo on the bottom shows the northern slope of one block in 2021, four years after sowing (Photo: Markus Bauer).</w:t>
      </w:r>
    </w:p>
    <w:p>
      <w:r>
        <w:br w:type="page"/>
      </w:r>
    </w:p>
    <w:bookmarkEnd w:id="196"/>
    <w:bookmarkStart w:id="197" w:name="figure-2"/>
    <w:p>
      <w:pPr>
        <w:pStyle w:val="berschrift2"/>
      </w:pPr>
      <w:r>
        <w:t xml:space="preserve">Figure 2</w:t>
      </w:r>
    </w:p>
    <w:p>
      <w:pPr>
        <w:jc w:val="center"/>
        <w:pStyle w:val="Figure"/>
      </w:pPr>
      <w:r>
        <w:rPr/>
        <w:drawing>
          <wp:inline distT="0" distB="0" distL="0" distR="0">
            <wp:extent cx="5934456" cy="179814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91"/>
                    <a:stretch>
                      <a:fillRect/>
                    </a:stretch>
                  </pic:blipFill>
                  <pic:spPr bwMode="auto">
                    <a:xfrm>
                      <a:off x="0" y="0"/>
                      <a:ext cx="82423" cy="24974"/>
                    </a:xfrm>
                    <a:prstGeom prst="rect">
                      <a:avLst/>
                    </a:prstGeom>
                    <a:noFill/>
                  </pic:spPr>
                </pic:pic>
              </a:graphicData>
            </a:graphic>
          </wp:inline>
        </w:drawing>
      </w:r>
    </w:p>
    <w:p>
      <w:pPr>
        <w:pStyle w:val="ImageCaption"/>
      </w:pPr>
      <w:r>
        <w:rPr>
          <w:rFonts/>
          <w:b w:val="true"/>
        </w:rPr>
        <w:t xml:space="preserve">Figure </w:t>
      </w:r>
      <w:bookmarkStart w:id="7649d370-a693-443f-b805-a6e2c11ce914" w:name="effec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649d370-a693-443f-b805-a6e2c11ce914"/>
      <w:r>
        <w:rPr>
          <w:rFonts/>
          <w:b w:val="true"/>
        </w:rPr>
        <w:t xml:space="preserve">: </w:t>
      </w:r>
      <w:r>
        <w:t xml:space="preserve">The posterior density distributions (grey) of the treatments calculated over all four surveyed years of sown grassland communities at a river dike. Furthermore, the median and the 66% and 95% credible intervals are shown: the persistence of sown species (A), the Favourable Conservation Status (FCS; B) and the successional distance to reference (recovery; C). The FCS is the ratio of target species and non-target species. Note that the zero lines indicate that both levels have equal values. This means, e.g., that hay meadows are closer to their reference than dry grasslands (C).</w:t>
      </w:r>
    </w:p>
    <w:p>
      <w:r>
        <w:br w:type="page"/>
      </w:r>
    </w:p>
    <w:bookmarkEnd w:id="197"/>
    <w:bookmarkStart w:id="198" w:name="figure-3"/>
    <w:p>
      <w:pPr>
        <w:pStyle w:val="berschrift2"/>
      </w:pPr>
      <w:r>
        <w:t xml:space="preserve">Figure 3</w:t>
      </w:r>
    </w:p>
    <w:p>
      <w:pPr>
        <w:jc w:val="center"/>
        <w:pStyle w:val="Figure"/>
      </w:pPr>
      <w:r>
        <w:rPr/>
        <w:drawing>
          <wp:inline distT="0" distB="0" distL="0" distR="0">
            <wp:extent cx="5934456" cy="2877024"/>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92"/>
                    <a:stretch>
                      <a:fillRect/>
                    </a:stretch>
                  </pic:blipFill>
                  <pic:spPr bwMode="auto">
                    <a:xfrm>
                      <a:off x="0" y="0"/>
                      <a:ext cx="82423" cy="39959"/>
                    </a:xfrm>
                    <a:prstGeom prst="rect">
                      <a:avLst/>
                    </a:prstGeom>
                    <a:noFill/>
                  </pic:spPr>
                </pic:pic>
              </a:graphicData>
            </a:graphic>
          </wp:inline>
        </w:drawing>
      </w:r>
    </w:p>
    <w:p>
      <w:pPr>
        <w:pStyle w:val="ImageCaption"/>
      </w:pPr>
      <w:r>
        <w:rPr>
          <w:rFonts/>
          <w:b w:val="true"/>
        </w:rPr>
        <w:t xml:space="preserve">Figure </w:t>
      </w:r>
      <w:bookmarkStart w:id="cb906387-65fd-42d6-80a6-a79e57259941" w:name="persisten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b906387-65fd-42d6-80a6-a79e57259941"/>
      <w:r>
        <w:rPr>
          <w:rFonts/>
          <w:b w:val="true"/>
        </w:rPr>
        <w:t xml:space="preserve">: </w:t>
      </w:r>
      <w:r>
        <w:t xml:space="preserve">Persistence (1-</w:t>
      </w:r>
      <w:r>
        <w:rPr>
          <w:iCs/>
          <w:i/>
        </w:rPr>
        <w:t xml:space="preserve">B</w:t>
      </w:r>
      <w:r>
        <w:rPr>
          <w:vertAlign w:val="subscript"/>
        </w:rPr>
        <w:t xml:space="preserve">sor</w:t>
      </w:r>
      <w:r>
        <w:t xml:space="preserve">) of sown species of sown grassland communities at a river dike. The plots had substrates with different sand admixtures and were sown with two different seed mixture types. Twenty species were sown per plot. Shown are the medians and 95% credible intervals of the posterior distributions, which were derived from a Bayesian linear mixed-effects model (BLMM).</w:t>
      </w:r>
    </w:p>
    <w:p>
      <w:r>
        <w:br w:type="page"/>
      </w:r>
    </w:p>
    <w:bookmarkEnd w:id="198"/>
    <w:bookmarkStart w:id="199" w:name="figure-4"/>
    <w:p>
      <w:pPr>
        <w:pStyle w:val="berschrift2"/>
      </w:pPr>
      <w:r>
        <w:t xml:space="preserve">Figure 4</w:t>
      </w:r>
    </w:p>
    <w:p>
      <w:pPr>
        <w:jc w:val="center"/>
        <w:pStyle w:val="Figure"/>
      </w:pPr>
      <w:r>
        <w:rPr/>
        <w:drawing>
          <wp:inline distT="0" distB="0" distL="0" distR="0">
            <wp:extent cx="5934456" cy="2877024"/>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193"/>
                    <a:stretch>
                      <a:fillRect/>
                    </a:stretch>
                  </pic:blipFill>
                  <pic:spPr bwMode="auto">
                    <a:xfrm>
                      <a:off x="0" y="0"/>
                      <a:ext cx="82423" cy="39959"/>
                    </a:xfrm>
                    <a:prstGeom prst="rect">
                      <a:avLst/>
                    </a:prstGeom>
                    <a:noFill/>
                  </pic:spPr>
                </pic:pic>
              </a:graphicData>
            </a:graphic>
          </wp:inline>
        </w:drawing>
      </w:r>
    </w:p>
    <w:p>
      <w:pPr>
        <w:pStyle w:val="ImageCaption"/>
      </w:pPr>
      <w:r>
        <w:rPr>
          <w:rFonts/>
          <w:b w:val="true"/>
        </w:rPr>
        <w:t xml:space="preserve">Figure </w:t>
      </w:r>
      <w:bookmarkStart w:id="c134f6c2-eb4c-4b9f-8bce-78978a99389c" w:name="fc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134f6c2-eb4c-4b9f-8bce-78978a99389c"/>
      <w:r>
        <w:rPr>
          <w:rFonts/>
          <w:b w:val="true"/>
        </w:rPr>
        <w:t xml:space="preserve">: </w:t>
      </w:r>
      <w:r>
        <w:t xml:space="preserve">The Favourable Conservation Status (FCS) of sown grassland communities at a river dike. The plots had substrates with different sand admixtures and were sown with two different seed mixtures. The zero line indicates that target and non-target species are balanced. Positive values indicate that there are more target species. Shown are the medians and 95% credible intervals of the posterior distributions, which were derived from a Bayesian linear mixed-effects model (BLMM).</w:t>
      </w:r>
    </w:p>
    <w:p>
      <w:r>
        <w:br w:type="page"/>
      </w:r>
    </w:p>
    <w:bookmarkEnd w:id="199"/>
    <w:bookmarkStart w:id="200" w:name="figure-5"/>
    <w:p>
      <w:pPr>
        <w:pStyle w:val="berschrift2"/>
      </w:pPr>
      <w:r>
        <w:t xml:space="preserve">Figure 5</w:t>
      </w:r>
    </w:p>
    <w:p>
      <w:pPr>
        <w:jc w:val="center"/>
        <w:pStyle w:val="Figure"/>
      </w:pPr>
      <w:r>
        <w:rPr/>
        <w:drawing>
          <wp:inline distT="0" distB="0" distL="0" distR="0">
            <wp:extent cx="5934456" cy="2877024"/>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194"/>
                    <a:stretch>
                      <a:fillRect/>
                    </a:stretch>
                  </pic:blipFill>
                  <pic:spPr bwMode="auto">
                    <a:xfrm>
                      <a:off x="0" y="0"/>
                      <a:ext cx="82423" cy="39959"/>
                    </a:xfrm>
                    <a:prstGeom prst="rect">
                      <a:avLst/>
                    </a:prstGeom>
                    <a:noFill/>
                  </pic:spPr>
                </pic:pic>
              </a:graphicData>
            </a:graphic>
          </wp:inline>
        </w:drawing>
      </w:r>
    </w:p>
    <w:p>
      <w:pPr>
        <w:pStyle w:val="ImageCaption"/>
      </w:pPr>
      <w:r>
        <w:rPr>
          <w:rFonts/>
          <w:b w:val="true"/>
        </w:rPr>
        <w:t xml:space="preserve">Figure </w:t>
      </w:r>
      <w:bookmarkStart w:id="679c72a6-56c1-453f-ae87-ce1b4af7abb2" w:name="recovery"/>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79c72a6-56c1-453f-ae87-ce1b4af7abb2"/>
      <w:r>
        <w:rPr>
          <w:rFonts/>
          <w:b w:val="true"/>
        </w:rPr>
        <w:t xml:space="preserve">: </w:t>
      </w:r>
      <w:r>
        <w:t xml:space="preserve">The recovery or successional distance (</w:t>
      </w:r>
      <w:r>
        <w:rPr>
          <w:iCs/>
          <w:i/>
        </w:rPr>
        <w:t xml:space="preserve">d</w:t>
      </w:r>
      <w:r>
        <w:rPr>
          <w:vertAlign w:val="subscript"/>
          <w:iCs/>
          <w:i/>
        </w:rPr>
        <w:t xml:space="preserve">jt,0</w:t>
      </w:r>
      <w:r>
        <w:t xml:space="preserve">) of sown grassland communities at a river dike in comparison to the respective reference sites (hay meadows or dry calcareous grasslands). The plots had substrates with different sand admixtures and were sown with two different seed mixtures. The zero lines indicate the mean position of the reference sites for each habitat type on the NMDS axis 1 (Figure 7). The grey area marks the standard deviation of the position of the reference sites. Shown are the medians and 95% credible intervals of the posterior distributions, which were derived from a Bayesian linear mixed-effects model (BLMM).</w:t>
      </w:r>
    </w:p>
    <w:p>
      <w:r>
        <w:br w:type="page"/>
      </w:r>
    </w:p>
    <w:bookmarkEnd w:id="200"/>
    <w:bookmarkStart w:id="201" w:name="figure-6"/>
    <w:p>
      <w:pPr>
        <w:pStyle w:val="berschrift2"/>
      </w:pPr>
      <w:r>
        <w:t xml:space="preserve">Figure 6</w:t>
      </w:r>
    </w:p>
    <w:p>
      <w:pPr>
        <w:jc w:val="center"/>
        <w:pStyle w:val="Figure"/>
      </w:pPr>
      <w:r>
        <w:rPr/>
        <w:drawing>
          <wp:inline distT="0" distB="0" distL="0" distR="0">
            <wp:extent cx="5934456" cy="5754049"/>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195"/>
                    <a:stretch>
                      <a:fillRect/>
                    </a:stretch>
                  </pic:blipFill>
                  <pic:spPr bwMode="auto">
                    <a:xfrm>
                      <a:off x="0" y="0"/>
                      <a:ext cx="82423" cy="79917"/>
                    </a:xfrm>
                    <a:prstGeom prst="rect">
                      <a:avLst/>
                    </a:prstGeom>
                    <a:noFill/>
                  </pic:spPr>
                </pic:pic>
              </a:graphicData>
            </a:graphic>
          </wp:inline>
        </w:drawing>
      </w:r>
    </w:p>
    <w:p>
      <w:pPr>
        <w:pStyle w:val="ImageCaption"/>
      </w:pPr>
      <w:r>
        <w:rPr>
          <w:rFonts/>
          <w:b w:val="true"/>
        </w:rPr>
        <w:t xml:space="preserve">Figure </w:t>
      </w:r>
      <w:bookmarkStart w:id="5eebb99d-1789-442f-a486-209f7c760348" w:name="nmd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eebb99d-1789-442f-a486-209f7c760348"/>
      <w:r>
        <w:rPr>
          <w:rFonts/>
          <w:b w:val="true"/>
        </w:rPr>
        <w:t xml:space="preserve">: </w:t>
      </w:r>
    </w:p>
    <w:p>
      <w:pPr>
        <w:pStyle w:val="Textkrper"/>
      </w:pPr>
      <w:r>
        <w:t xml:space="preserve">The species composition of sown experimental plots on a river dike over time and in comparison with reference sites and the seed mixtures. Both expositions and both seed mixture types are shown in separated panels. The NMDS was based on the Sørensen dissimilarity and data of 288 plots observed over four years after sowing in 2018 (circles). These experimental plots were compared with the seed mixtures (black squares) and 98 positive and negative reference plots (filled symbols) from older dike grasslands in the surroundings</w:t>
      </w:r>
      <w:r>
        <w:t xml:space="preserve"> </w:t>
      </w:r>
      <w:r>
        <w:t xml:space="preserve">(Bauer et al., 2023)</w:t>
      </w:r>
      <w:r>
        <w:t xml:space="preserve"> </w:t>
      </w:r>
      <w:r>
        <w:t xml:space="preserve">and six plots from sPlotOpen</w:t>
      </w:r>
      <w:r>
        <w:t xml:space="preserve"> </w:t>
      </w:r>
      <w:r>
        <w:t xml:space="preserve">(Sabatini et al., 2021)</w:t>
      </w:r>
      <w:r>
        <w:t xml:space="preserve">. The circles show the standard error of the groups. 2D-stress: 0.21.</w:t>
      </w:r>
    </w:p>
    <w:p>
      <w:r>
        <w:br w:type="page"/>
      </w:r>
    </w:p>
    <w:bookmarkEnd w:id="201"/>
    <w:bookmarkEnd w:id="202"/>
    <w:bookmarkStart w:id="203" w:name="session-info"/>
    <w:p>
      <w:pPr>
        <w:pStyle w:val="berschrift1"/>
      </w:pPr>
      <w:r>
        <w:t xml:space="preserve">Session Info</w:t>
      </w:r>
    </w:p>
    <w:p>
      <w:pPr>
        <w:pStyle w:val="SourceCode"/>
      </w:pPr>
      <w:r>
        <w:rPr>
          <w:rStyle w:val="VerbatimChar"/>
        </w:rPr>
        <w:t xml:space="preserve">## R version 4.2.2 (2022-10-31 ucrt)</w:t>
      </w:r>
      <w:r>
        <w:br/>
      </w:r>
      <w:r>
        <w:rPr>
          <w:rStyle w:val="VerbatimChar"/>
        </w:rPr>
        <w:t xml:space="preserve">## Platform: x86_64-w64-mingw32/x64 (64-bit)</w:t>
      </w:r>
      <w:r>
        <w:br/>
      </w:r>
      <w:r>
        <w:rPr>
          <w:rStyle w:val="VerbatimChar"/>
        </w:rPr>
        <w:t xml:space="preserve">## Running under: Windows 10 x64 (build 22621)</w:t>
      </w:r>
      <w:r>
        <w:br/>
      </w:r>
      <w:r>
        <w:rPr>
          <w:rStyle w:val="VerbatimChar"/>
        </w:rPr>
        <w:t xml:space="preserve">## </w:t>
      </w:r>
      <w:r>
        <w:br/>
      </w:r>
      <w:r>
        <w:rPr>
          <w:rStyle w:val="VerbatimChar"/>
        </w:rPr>
        <w:t xml:space="preserve">## Matrix products: default</w:t>
      </w:r>
      <w:r>
        <w:br/>
      </w:r>
      <w:r>
        <w:rPr>
          <w:rStyle w:val="VerbatimChar"/>
        </w:rPr>
        <w:t xml:space="preserve">## </w:t>
      </w:r>
      <w:r>
        <w:br/>
      </w:r>
      <w:r>
        <w:rPr>
          <w:rStyle w:val="VerbatimChar"/>
        </w:rPr>
        <w:t xml:space="preserve">## locale:</w:t>
      </w:r>
      <w:r>
        <w:br/>
      </w:r>
      <w:r>
        <w:rPr>
          <w:rStyle w:val="VerbatimChar"/>
        </w:rPr>
        <w:t xml:space="preserve">## [1] LC_COLLATE=German_Germany.utf8  LC_CTYPE=German_Germany.utf8   </w:t>
      </w:r>
      <w:r>
        <w:br/>
      </w:r>
      <w:r>
        <w:rPr>
          <w:rStyle w:val="VerbatimChar"/>
        </w:rPr>
        <w:t xml:space="preserve">## [3] LC_MONETARY=German_Germany.utf8 LC_NUMERIC=C                   </w:t>
      </w:r>
      <w:r>
        <w:br/>
      </w:r>
      <w:r>
        <w:rPr>
          <w:rStyle w:val="VerbatimChar"/>
        </w:rPr>
        <w:t xml:space="preserve">## [5] LC_TIME=German_Germany.utf8    </w:t>
      </w:r>
      <w:r>
        <w:br/>
      </w:r>
      <w:r>
        <w:rPr>
          <w:rStyle w:val="VerbatimChar"/>
        </w:rPr>
        <w:t xml:space="preserve">## </w:t>
      </w:r>
      <w:r>
        <w:br/>
      </w:r>
      <w:r>
        <w:rPr>
          <w:rStyle w:val="VerbatimChar"/>
        </w:rPr>
        <w:t xml:space="preserve">## attached base packages:</w:t>
      </w:r>
      <w:r>
        <w:br/>
      </w:r>
      <w:r>
        <w:rPr>
          <w:rStyle w:val="VerbatimChar"/>
        </w:rPr>
        <w:t xml:space="preserve">## [1] stats     graphics  grDevices datasets  utils     methods   base     </w:t>
      </w:r>
      <w:r>
        <w:br/>
      </w:r>
      <w:r>
        <w:rPr>
          <w:rStyle w:val="VerbatimChar"/>
        </w:rPr>
        <w:t xml:space="preserve">## </w:t>
      </w:r>
      <w:r>
        <w:br/>
      </w:r>
      <w:r>
        <w:rPr>
          <w:rStyle w:val="VerbatimChar"/>
        </w:rPr>
        <w:t xml:space="preserve">## other attached packages:</w:t>
      </w:r>
      <w:r>
        <w:br/>
      </w:r>
      <w:r>
        <w:rPr>
          <w:rStyle w:val="VerbatimChar"/>
        </w:rPr>
        <w:t xml:space="preserve">##  [1] flextable_0.8.6  lubridate_1.9.2  forcats_1.0.0    stringr_1.5.0   </w:t>
      </w:r>
      <w:r>
        <w:br/>
      </w:r>
      <w:r>
        <w:rPr>
          <w:rStyle w:val="VerbatimChar"/>
        </w:rPr>
        <w:t xml:space="preserve">##  [5] dplyr_1.1.0      purrr_1.0.1      readr_2.1.4      tidyr_1.3.0     </w:t>
      </w:r>
      <w:r>
        <w:br/>
      </w:r>
      <w:r>
        <w:rPr>
          <w:rStyle w:val="VerbatimChar"/>
        </w:rPr>
        <w:t xml:space="preserve">##  [9] tibble_3.1.8     ggplot2_3.4.1    tidyverse_2.0.0  officer_0.6.0   </w:t>
      </w:r>
      <w:r>
        <w:br/>
      </w:r>
      <w:r>
        <w:rPr>
          <w:rStyle w:val="VerbatimChar"/>
        </w:rPr>
        <w:t xml:space="preserve">## [13] officedown_0.3.0 knitr_1.42       here_1.0.1      </w:t>
      </w:r>
      <w:r>
        <w:br/>
      </w:r>
      <w:r>
        <w:rPr>
          <w:rStyle w:val="VerbatimChar"/>
        </w:rPr>
        <w:t xml:space="preserve">## </w:t>
      </w:r>
      <w:r>
        <w:br/>
      </w:r>
      <w:r>
        <w:rPr>
          <w:rStyle w:val="VerbatimChar"/>
        </w:rPr>
        <w:t xml:space="preserve">## loaded via a namespace (and not attached):</w:t>
      </w:r>
      <w:r>
        <w:br/>
      </w:r>
      <w:r>
        <w:rPr>
          <w:rStyle w:val="VerbatimChar"/>
        </w:rPr>
        <w:t xml:space="preserve">##  [1] bit64_4.0.5             vroom_1.6.1             jsonlite_1.8.4         </w:t>
      </w:r>
      <w:r>
        <w:br/>
      </w:r>
      <w:r>
        <w:rPr>
          <w:rStyle w:val="VerbatimChar"/>
        </w:rPr>
        <w:t xml:space="preserve">##  [4] shiny_1.7.4             askpass_1.1             fontLiberation_0.1.0   </w:t>
      </w:r>
      <w:r>
        <w:br/>
      </w:r>
      <w:r>
        <w:rPr>
          <w:rStyle w:val="VerbatimChar"/>
        </w:rPr>
        <w:t xml:space="preserve">##  [7] renv_0.16.0             yaml_2.3.7              gdtools_0.3.1          </w:t>
      </w:r>
      <w:r>
        <w:br/>
      </w:r>
      <w:r>
        <w:rPr>
          <w:rStyle w:val="VerbatimChar"/>
        </w:rPr>
        <w:t xml:space="preserve">## [10] pillar_1.8.1            glue_1.6.2              uuid_1.1-0             </w:t>
      </w:r>
      <w:r>
        <w:br/>
      </w:r>
      <w:r>
        <w:rPr>
          <w:rStyle w:val="VerbatimChar"/>
        </w:rPr>
        <w:t xml:space="preserve">## [13] digest_0.6.31           promises_1.2.0.1        colorspace_2.1-0       </w:t>
      </w:r>
      <w:r>
        <w:br/>
      </w:r>
      <w:r>
        <w:rPr>
          <w:rStyle w:val="VerbatimChar"/>
        </w:rPr>
        <w:t xml:space="preserve">## [16] htmltools_0.5.4         httpuv_1.6.9            gfonts_0.2.0           </w:t>
      </w:r>
      <w:r>
        <w:br/>
      </w:r>
      <w:r>
        <w:rPr>
          <w:rStyle w:val="VerbatimChar"/>
        </w:rPr>
        <w:t xml:space="preserve">## [19] fontBitstreamVera_0.1.1 pkgconfig_2.0.3         httpcode_0.3.0         </w:t>
      </w:r>
      <w:r>
        <w:br/>
      </w:r>
      <w:r>
        <w:rPr>
          <w:rStyle w:val="VerbatimChar"/>
        </w:rPr>
        <w:t xml:space="preserve">## [22] xtable_1.8-4            scales_1.2.1            later_1.3.0            </w:t>
      </w:r>
      <w:r>
        <w:br/>
      </w:r>
      <w:r>
        <w:rPr>
          <w:rStyle w:val="VerbatimChar"/>
        </w:rPr>
        <w:t xml:space="preserve">## [25] fontquiver_0.2.1        tzdb_0.3.0              timechange_0.2.0       </w:t>
      </w:r>
      <w:r>
        <w:br/>
      </w:r>
      <w:r>
        <w:rPr>
          <w:rStyle w:val="VerbatimChar"/>
        </w:rPr>
        <w:t xml:space="preserve">## [28] openssl_2.0.5           generics_0.1.3          ellipsis_0.3.2         </w:t>
      </w:r>
      <w:r>
        <w:br/>
      </w:r>
      <w:r>
        <w:rPr>
          <w:rStyle w:val="VerbatimChar"/>
        </w:rPr>
        <w:t xml:space="preserve">## [31] cachem_1.0.7            withr_2.5.0             cli_3.6.0              </w:t>
      </w:r>
      <w:r>
        <w:br/>
      </w:r>
      <w:r>
        <w:rPr>
          <w:rStyle w:val="VerbatimChar"/>
        </w:rPr>
        <w:t xml:space="preserve">## [34] magrittr_2.0.3          crayon_1.5.2            mime_0.12              </w:t>
      </w:r>
      <w:r>
        <w:br/>
      </w:r>
      <w:r>
        <w:rPr>
          <w:rStyle w:val="VerbatimChar"/>
        </w:rPr>
        <w:t xml:space="preserve">## [37] memoise_2.0.1           evaluate_0.20           fansi_1.0.4            </w:t>
      </w:r>
      <w:r>
        <w:br/>
      </w:r>
      <w:r>
        <w:rPr>
          <w:rStyle w:val="VerbatimChar"/>
        </w:rPr>
        <w:t xml:space="preserve">## [40] xml2_1.3.3              textshaping_0.3.6       tools_4.2.2            </w:t>
      </w:r>
      <w:r>
        <w:br/>
      </w:r>
      <w:r>
        <w:rPr>
          <w:rStyle w:val="VerbatimChar"/>
        </w:rPr>
        <w:t xml:space="preserve">## [43] data.table_1.14.8       hms_1.1.2               lifecycle_1.0.3        </w:t>
      </w:r>
      <w:r>
        <w:br/>
      </w:r>
      <w:r>
        <w:rPr>
          <w:rStyle w:val="VerbatimChar"/>
        </w:rPr>
        <w:t xml:space="preserve">## [46] munsell_0.5.0           zip_2.2.2               compiler_4.2.2         </w:t>
      </w:r>
      <w:r>
        <w:br/>
      </w:r>
      <w:r>
        <w:rPr>
          <w:rStyle w:val="VerbatimChar"/>
        </w:rPr>
        <w:t xml:space="preserve">## [49] systemfonts_1.0.4       rlang_1.0.6             grid_4.2.2             </w:t>
      </w:r>
      <w:r>
        <w:br/>
      </w:r>
      <w:r>
        <w:rPr>
          <w:rStyle w:val="VerbatimChar"/>
        </w:rPr>
        <w:t xml:space="preserve">## [52] rstudioapi_0.14         rmarkdown_2.20          gtable_0.3.1           </w:t>
      </w:r>
      <w:r>
        <w:br/>
      </w:r>
      <w:r>
        <w:rPr>
          <w:rStyle w:val="VerbatimChar"/>
        </w:rPr>
        <w:t xml:space="preserve">## [55] curl_5.0.0              R6_2.5.1                rvg_0.3.2              </w:t>
      </w:r>
      <w:r>
        <w:br/>
      </w:r>
      <w:r>
        <w:rPr>
          <w:rStyle w:val="VerbatimChar"/>
        </w:rPr>
        <w:t xml:space="preserve">## [58] fastmap_1.1.1           bit_4.0.5               utf8_1.2.3             </w:t>
      </w:r>
      <w:r>
        <w:br/>
      </w:r>
      <w:r>
        <w:rPr>
          <w:rStyle w:val="VerbatimChar"/>
        </w:rPr>
        <w:t xml:space="preserve">## [61] rprojroot_2.0.3         ragg_1.2.5              stringi_1.7.12         </w:t>
      </w:r>
      <w:r>
        <w:br/>
      </w:r>
      <w:r>
        <w:rPr>
          <w:rStyle w:val="VerbatimChar"/>
        </w:rPr>
        <w:t xml:space="preserve">## [64] parallel_4.2.2          crul_1.3                Rcpp_1.0.10            </w:t>
      </w:r>
      <w:r>
        <w:br/>
      </w:r>
      <w:r>
        <w:rPr>
          <w:rStyle w:val="VerbatimChar"/>
        </w:rPr>
        <w:t xml:space="preserve">## [67] png_0.1-8               vctrs_0.5.2             tidyselect_1.2.0       </w:t>
      </w:r>
      <w:r>
        <w:br/>
      </w:r>
      <w:r>
        <w:rPr>
          <w:rStyle w:val="VerbatimChar"/>
        </w:rPr>
        <w:t xml:space="preserve">## [70] xfun_0.37</w:t>
      </w:r>
    </w:p>
    <w:bookmarkEnd w:id="203"/>
    <w:sectPr w:rsidR="005F2DED" w:rsidSect="00AC2050">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lnNumType w:countBy="1" w:restart="continuous"/>
      <w:cols w:space="720"/>
      <w:docGrid w:linePitch="299"/>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F7449" w14:textId="77777777" w:rsidR="00D20FC4" w:rsidRDefault="00D20FC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915362"/>
      <w:docPartObj>
        <w:docPartGallery w:val="Page Numbers (Bottom of Page)"/>
        <w:docPartUnique/>
      </w:docPartObj>
    </w:sdtPr>
    <w:sdtContent>
      <w:p w14:paraId="71509ADD" w14:textId="48C7C6B0" w:rsidR="00D20FC4" w:rsidRDefault="00D20FC4" w:rsidP="00D20FC4">
        <w:pPr>
          <w:pStyle w:val="Fuzeile"/>
          <w:jc w:val="center"/>
        </w:pPr>
        <w:r>
          <w:fldChar w:fldCharType="begin"/>
        </w:r>
        <w:r>
          <w:instrText>PAGE   \* MERGEFORMAT</w:instrText>
        </w:r>
        <w:r>
          <w:fldChar w:fldCharType="separate"/>
        </w:r>
        <w:r>
          <w:rPr>
            <w:lang w:val="de-DE"/>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E992D" w14:textId="77777777" w:rsidR="00D20FC4" w:rsidRDefault="00D20FC4">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EE0F5" w14:textId="77777777" w:rsidR="00D20FC4" w:rsidRDefault="00D20FC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1570A" w14:textId="77777777" w:rsidR="00D20FC4" w:rsidRDefault="00D20FC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920E" w14:textId="77777777" w:rsidR="00D20FC4" w:rsidRDefault="00D20FC4">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D16F37D"/>
    <w:multiLevelType w:val="multilevel"/>
    <w:tmpl w:val="9D08E1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A98E7C5"/>
    <w:multiLevelType w:val="multilevel"/>
    <w:tmpl w:val="4D96E7D4"/>
    <w:lvl w:ilvl="0">
      <w:start w:val="1"/>
      <w:numFmt w:val="lowerRoman"/>
      <w:lvlText w:val="%1."/>
      <w:lvlJc w:val="left"/>
      <w:pPr>
        <w:tabs>
          <w:tab w:pos="0" w:val="num"/>
        </w:tabs>
        <w:ind w:hanging="480" w:left="480"/>
      </w:pPr>
    </w:lvl>
    <w:lvl w:ilvl="1">
      <w:start w:val="1"/>
      <w:numFmt w:val="lowerRoman"/>
      <w:lvlText w:val="%2."/>
      <w:lvlJc w:val="left"/>
      <w:pPr>
        <w:tabs>
          <w:tab w:pos="720" w:val="num"/>
        </w:tabs>
        <w:ind w:hanging="480" w:left="1200"/>
      </w:pPr>
    </w:lvl>
    <w:lvl w:ilvl="2">
      <w:start w:val="1"/>
      <w:numFmt w:val="lowerRoman"/>
      <w:lvlText w:val="%3."/>
      <w:lvlJc w:val="left"/>
      <w:pPr>
        <w:tabs>
          <w:tab w:pos="1440" w:val="num"/>
        </w:tabs>
        <w:ind w:hanging="480" w:left="1920"/>
      </w:pPr>
    </w:lvl>
    <w:lvl w:ilvl="3">
      <w:start w:val="1"/>
      <w:numFmt w:val="lowerRoman"/>
      <w:lvlText w:val="%4."/>
      <w:lvlJc w:val="left"/>
      <w:pPr>
        <w:tabs>
          <w:tab w:pos="2160" w:val="num"/>
        </w:tabs>
        <w:ind w:hanging="480" w:left="2640"/>
      </w:pPr>
    </w:lvl>
    <w:lvl w:ilvl="4">
      <w:start w:val="1"/>
      <w:numFmt w:val="lowerRoman"/>
      <w:lvlText w:val="%5."/>
      <w:lvlJc w:val="left"/>
      <w:pPr>
        <w:tabs>
          <w:tab w:pos="2880" w:val="num"/>
        </w:tabs>
        <w:ind w:hanging="480" w:left="3360"/>
      </w:pPr>
    </w:lvl>
    <w:lvl w:ilvl="5">
      <w:start w:val="1"/>
      <w:numFmt w:val="lowerRoman"/>
      <w:lvlText w:val="%6."/>
      <w:lvlJc w:val="left"/>
      <w:pPr>
        <w:tabs>
          <w:tab w:pos="3600" w:val="num"/>
        </w:tabs>
        <w:ind w:hanging="480" w:left="4080"/>
      </w:pPr>
    </w:lvl>
    <w:lvl w:ilvl="6">
      <w:start w:val="1"/>
      <w:numFmt w:val="lowerRoman"/>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CF3E065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7C"/>
    <w:multiLevelType w:val="singleLevel"/>
    <w:tmpl w:val="8D30F7C6"/>
    <w:lvl w:ilvl="0">
      <w:start w:val="1"/>
      <w:numFmt w:val="decimal"/>
      <w:lvlText w:val="%1."/>
      <w:lvlJc w:val="left"/>
      <w:pPr>
        <w:tabs>
          <w:tab w:pos="1492" w:val="num"/>
        </w:tabs>
        <w:ind w:hanging="360" w:left="1492"/>
      </w:pPr>
    </w:lvl>
  </w:abstractNum>
  <w:abstractNum w15:restartNumberingAfterBreak="0" w:abstractNumId="4">
    <w:nsid w:val="FFFFFF7D"/>
    <w:multiLevelType w:val="singleLevel"/>
    <w:tmpl w:val="7882A8FE"/>
    <w:lvl w:ilvl="0">
      <w:start w:val="1"/>
      <w:numFmt w:val="decimal"/>
      <w:lvlText w:val="%1."/>
      <w:lvlJc w:val="left"/>
      <w:pPr>
        <w:tabs>
          <w:tab w:pos="1209" w:val="num"/>
        </w:tabs>
        <w:ind w:hanging="360" w:left="1209"/>
      </w:pPr>
    </w:lvl>
  </w:abstractNum>
  <w:abstractNum w15:restartNumberingAfterBreak="0" w:abstractNumId="5">
    <w:nsid w:val="FFFFFF7E"/>
    <w:multiLevelType w:val="singleLevel"/>
    <w:tmpl w:val="4CF60D7A"/>
    <w:lvl w:ilvl="0">
      <w:start w:val="1"/>
      <w:numFmt w:val="decimal"/>
      <w:lvlText w:val="%1."/>
      <w:lvlJc w:val="left"/>
      <w:pPr>
        <w:tabs>
          <w:tab w:pos="926" w:val="num"/>
        </w:tabs>
        <w:ind w:hanging="360" w:left="926"/>
      </w:pPr>
    </w:lvl>
  </w:abstractNum>
  <w:abstractNum w15:restartNumberingAfterBreak="0" w:abstractNumId="6">
    <w:nsid w:val="FFFFFF7F"/>
    <w:multiLevelType w:val="singleLevel"/>
    <w:tmpl w:val="87EE3374"/>
    <w:lvl w:ilvl="0">
      <w:start w:val="1"/>
      <w:numFmt w:val="decimal"/>
      <w:lvlText w:val="%1."/>
      <w:lvlJc w:val="left"/>
      <w:pPr>
        <w:tabs>
          <w:tab w:pos="643" w:val="num"/>
        </w:tabs>
        <w:ind w:hanging="360" w:left="643"/>
      </w:pPr>
    </w:lvl>
  </w:abstractNum>
  <w:abstractNum w15:restartNumberingAfterBreak="0" w:abstractNumId="7">
    <w:nsid w:val="FFFFFF80"/>
    <w:multiLevelType w:val="singleLevel"/>
    <w:tmpl w:val="0CA2FEF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8">
    <w:nsid w:val="FFFFFF81"/>
    <w:multiLevelType w:val="singleLevel"/>
    <w:tmpl w:val="CC463BB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9">
    <w:nsid w:val="FFFFFF82"/>
    <w:multiLevelType w:val="singleLevel"/>
    <w:tmpl w:val="395E1EFA"/>
    <w:lvl w:ilvl="0">
      <w:start w:val="1"/>
      <w:numFmt w:val="bullet"/>
      <w:lvlText w:val=""/>
      <w:lvlJc w:val="left"/>
      <w:pPr>
        <w:tabs>
          <w:tab w:pos="926" w:val="num"/>
        </w:tabs>
        <w:ind w:hanging="360" w:left="926"/>
      </w:pPr>
      <w:rPr>
        <w:rFonts w:ascii="Symbol" w:hAnsi="Symbol" w:hint="default"/>
      </w:rPr>
    </w:lvl>
  </w:abstractNum>
  <w:abstractNum w15:restartNumberingAfterBreak="0" w:abstractNumId="10">
    <w:nsid w:val="FFFFFF83"/>
    <w:multiLevelType w:val="singleLevel"/>
    <w:tmpl w:val="A114F518"/>
    <w:lvl w:ilvl="0">
      <w:start w:val="1"/>
      <w:numFmt w:val="bullet"/>
      <w:lvlText w:val=""/>
      <w:lvlJc w:val="left"/>
      <w:pPr>
        <w:tabs>
          <w:tab w:pos="643" w:val="num"/>
        </w:tabs>
        <w:ind w:hanging="360" w:left="643"/>
      </w:pPr>
      <w:rPr>
        <w:rFonts w:ascii="Symbol" w:hAnsi="Symbol" w:hint="default"/>
      </w:rPr>
    </w:lvl>
  </w:abstractNum>
  <w:abstractNum w15:restartNumberingAfterBreak="0" w:abstractNumId="11">
    <w:nsid w:val="FFFFFF88"/>
    <w:multiLevelType w:val="singleLevel"/>
    <w:tmpl w:val="CA8008B6"/>
    <w:lvl w:ilvl="0">
      <w:start w:val="1"/>
      <w:numFmt w:val="decimal"/>
      <w:lvlText w:val="%1."/>
      <w:lvlJc w:val="left"/>
      <w:pPr>
        <w:tabs>
          <w:tab w:pos="360" w:val="num"/>
        </w:tabs>
        <w:ind w:hanging="360" w:left="360"/>
      </w:pPr>
    </w:lvl>
  </w:abstractNum>
  <w:abstractNum w15:restartNumberingAfterBreak="0" w:abstractNumId="12">
    <w:nsid w:val="FFFFFF89"/>
    <w:multiLevelType w:val="singleLevel"/>
    <w:tmpl w:val="EB244C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3">
    <w:nsid w:val="2D0B75AB"/>
    <w:multiLevelType w:val="multilevel"/>
    <w:tmpl w:val="0B4CA96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4">
    <w:nsid w:val="2F8CD899"/>
    <w:multiLevelType w:val="multilevel"/>
    <w:tmpl w:val="49468BC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5">
    <w:nsid w:val="77259E51"/>
    <w:multiLevelType w:val="multilevel"/>
    <w:tmpl w:val="537C2202"/>
    <w:lvl w:ilvl="0">
      <w:start w:val="1"/>
      <w:numFmt w:val="lowerLetter"/>
      <w:lvlText w:val="%1."/>
      <w:lvlJc w:val="left"/>
      <w:pPr>
        <w:tabs>
          <w:tab w:pos="0" w:val="num"/>
        </w:tabs>
        <w:ind w:hanging="480" w:left="480"/>
      </w:pPr>
    </w:lvl>
    <w:lvl w:ilvl="1">
      <w:start w:val="1"/>
      <w:numFmt w:val="lowerLetter"/>
      <w:lvlText w:val="%2."/>
      <w:lvlJc w:val="left"/>
      <w:pPr>
        <w:tabs>
          <w:tab w:pos="720" w:val="num"/>
        </w:tabs>
        <w:ind w:hanging="480" w:left="1200"/>
      </w:pPr>
    </w:lvl>
    <w:lvl w:ilvl="2">
      <w:start w:val="1"/>
      <w:numFmt w:val="lowerLetter"/>
      <w:lvlText w:val="%3."/>
      <w:lvlJc w:val="left"/>
      <w:pPr>
        <w:tabs>
          <w:tab w:pos="1440" w:val="num"/>
        </w:tabs>
        <w:ind w:hanging="480" w:left="1920"/>
      </w:pPr>
    </w:lvl>
    <w:lvl w:ilvl="3">
      <w:start w:val="1"/>
      <w:numFmt w:val="lowerLetter"/>
      <w:lvlText w:val="%4."/>
      <w:lvlJc w:val="left"/>
      <w:pPr>
        <w:tabs>
          <w:tab w:pos="2160" w:val="num"/>
        </w:tabs>
        <w:ind w:hanging="480" w:left="2640"/>
      </w:pPr>
    </w:lvl>
    <w:lvl w:ilvl="4">
      <w:start w:val="1"/>
      <w:numFmt w:val="lowerLetter"/>
      <w:lvlText w:val="%5."/>
      <w:lvlJc w:val="left"/>
      <w:pPr>
        <w:tabs>
          <w:tab w:pos="2880" w:val="num"/>
        </w:tabs>
        <w:ind w:hanging="480" w:left="3360"/>
      </w:pPr>
    </w:lvl>
    <w:lvl w:ilvl="5">
      <w:start w:val="1"/>
      <w:numFmt w:val="lowerLetter"/>
      <w:lvlText w:val="%6."/>
      <w:lvlJc w:val="left"/>
      <w:pPr>
        <w:tabs>
          <w:tab w:pos="3600" w:val="num"/>
        </w:tabs>
        <w:ind w:hanging="480" w:left="4080"/>
      </w:pPr>
    </w:lvl>
    <w:lvl w:ilvl="6">
      <w:start w:val="1"/>
      <w:numFmt w:val="lowerLetter"/>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577593681" w:numId="1">
    <w:abstractNumId w:val="2"/>
  </w:num>
  <w:num w16cid:durableId="2106804008" w:numId="2">
    <w:abstractNumId w:val="13"/>
  </w:num>
  <w:num w16cid:durableId="1866942305" w:numId="3">
    <w:abstractNumId w:val="0"/>
  </w:num>
  <w:num w16cid:durableId="473765680"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46726796" w:numId="5">
    <w:abstractNumId w:val="0"/>
  </w:num>
  <w:num w16cid:durableId="2024935151"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637906572" w:numId="7">
    <w:abstractNumId w:val="0"/>
  </w:num>
  <w:num w16cid:durableId="216162109"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341978686"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68927557" w:numId="10">
    <w:abstractNumId w:val="3"/>
  </w:num>
  <w:num w16cid:durableId="1533416172" w:numId="11">
    <w:abstractNumId w:val="4"/>
  </w:num>
  <w:num w16cid:durableId="69154559" w:numId="12">
    <w:abstractNumId w:val="5"/>
  </w:num>
  <w:num w16cid:durableId="1823228370" w:numId="13">
    <w:abstractNumId w:val="6"/>
  </w:num>
  <w:num w16cid:durableId="1914000536" w:numId="14">
    <w:abstractNumId w:val="11"/>
  </w:num>
  <w:num w16cid:durableId="1174759598" w:numId="15">
    <w:abstractNumId w:val="7"/>
  </w:num>
  <w:num w16cid:durableId="1626422839" w:numId="16">
    <w:abstractNumId w:val="8"/>
  </w:num>
  <w:num w16cid:durableId="1438865613" w:numId="17">
    <w:abstractNumId w:val="9"/>
  </w:num>
  <w:num w16cid:durableId="692341280" w:numId="18">
    <w:abstractNumId w:val="10"/>
  </w:num>
  <w:num w16cid:durableId="2021003027" w:numId="19">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rsid w:val="00A42C8F"/>
    <w:rPr>
      <w:rFonts w:ascii="Times New Roman" w:hAnsi="Times New Roman"/>
      <w:sz w:val="22"/>
    </w:rPr>
  </w:style>
  <w:style w:styleId="berschrift1" w:type="paragraph">
    <w:name w:val="heading 1"/>
    <w:basedOn w:val="Standard"/>
    <w:next w:val="Textkrper"/>
    <w:uiPriority w:val="9"/>
    <w:qFormat/>
    <w:rsid w:val="005A6804"/>
    <w:pPr>
      <w:keepNext/>
      <w:keepLines/>
      <w:spacing w:after="240" w:before="480"/>
      <w:outlineLvl w:val="0"/>
    </w:pPr>
    <w:rPr>
      <w:rFonts w:cstheme="majorBidi" w:eastAsiaTheme="majorEastAsia"/>
      <w:b/>
      <w:bCs/>
      <w:color w:themeColor="text1" w:val="000000"/>
      <w:sz w:val="32"/>
      <w:szCs w:val="32"/>
    </w:rPr>
  </w:style>
  <w:style w:styleId="berschrift2" w:type="paragraph">
    <w:name w:val="heading 2"/>
    <w:basedOn w:val="Standard"/>
    <w:next w:val="Textkrper"/>
    <w:uiPriority w:val="9"/>
    <w:unhideWhenUsed/>
    <w:qFormat/>
    <w:rsid w:val="005A6804"/>
    <w:pPr>
      <w:keepNext/>
      <w:keepLines/>
      <w:spacing w:after="0" w:before="200"/>
      <w:outlineLvl w:val="1"/>
    </w:pPr>
    <w:rPr>
      <w:rFonts w:cstheme="majorBidi" w:eastAsiaTheme="majorEastAsia"/>
      <w:b/>
      <w:bCs/>
      <w:color w:themeColor="text1" w:val="000000"/>
      <w:sz w:val="28"/>
      <w:szCs w:val="32"/>
    </w:rPr>
  </w:style>
  <w:style w:styleId="berschrift3" w:type="paragraph">
    <w:name w:val="heading 3"/>
    <w:basedOn w:val="Standard"/>
    <w:next w:val="Textkrper"/>
    <w:uiPriority w:val="9"/>
    <w:unhideWhenUsed/>
    <w:qFormat/>
    <w:rsid w:val="005A6804"/>
    <w:pPr>
      <w:keepNext/>
      <w:keepLines/>
      <w:spacing w:after="0" w:before="200"/>
      <w:outlineLvl w:val="2"/>
    </w:pPr>
    <w:rPr>
      <w:rFonts w:cstheme="majorBidi" w:eastAsiaTheme="majorEastAsia"/>
      <w:b/>
      <w:bCs/>
      <w:color w:themeColor="text1" w:val="000000"/>
      <w:szCs w:val="28"/>
    </w:rPr>
  </w:style>
  <w:style w:styleId="berschrift4" w:type="paragraph">
    <w:name w:val="heading 4"/>
    <w:basedOn w:val="Standard"/>
    <w:next w:val="Textkrper"/>
    <w:uiPriority w:val="9"/>
    <w:unhideWhenUsed/>
    <w:qFormat/>
    <w:rsid w:val="005A6804"/>
    <w:pPr>
      <w:keepNext/>
      <w:keepLines/>
      <w:spacing w:after="0" w:before="200"/>
      <w:outlineLvl w:val="3"/>
    </w:pPr>
    <w:rPr>
      <w:rFonts w:cstheme="majorBidi" w:eastAsiaTheme="majorEastAsia"/>
      <w:bCs/>
      <w:i/>
      <w:color w:themeColor="text1" w:val="000000"/>
    </w:rPr>
  </w:style>
  <w:style w:styleId="berschrift5" w:type="paragraph">
    <w:name w:val="heading 5"/>
    <w:basedOn w:val="Standard"/>
    <w:next w:val="Textkrper"/>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1D3EE6"/>
    <w:pPr>
      <w:spacing w:after="120" w:before="120" w:line="480" w:lineRule="auto"/>
    </w:pPr>
  </w:style>
  <w:style w:customStyle="1" w:styleId="FirstParagraph" w:type="paragraph">
    <w:name w:val="First Paragraph"/>
    <w:basedOn w:val="Textkrper"/>
    <w:next w:val="Textkrper"/>
    <w:qFormat/>
    <w:rsid w:val="001D3EE6"/>
  </w:style>
  <w:style w:customStyle="1" w:styleId="Compact" w:type="paragraph">
    <w:name w:val="Compact"/>
    <w:basedOn w:val="Textkrper"/>
    <w:qFormat/>
    <w:rsid w:val="00A239CF"/>
    <w:pPr>
      <w:spacing w:after="36" w:before="36"/>
    </w:pPr>
  </w:style>
  <w:style w:styleId="Titel" w:type="paragraph">
    <w:name w:val="Title"/>
    <w:basedOn w:val="Standard"/>
    <w:next w:val="Textkrper"/>
    <w:qFormat/>
    <w:rsid w:val="005A6804"/>
    <w:pPr>
      <w:keepNext/>
      <w:keepLines/>
      <w:spacing w:after="240" w:before="480"/>
      <w:jc w:val="center"/>
    </w:pPr>
    <w:rPr>
      <w:rFonts w:cstheme="majorBidi" w:eastAsiaTheme="majorEastAsia"/>
      <w:b/>
      <w:bCs/>
      <w:color w:themeColor="text1" w:val="000000"/>
      <w:sz w:val="32"/>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rsid w:val="00A42C8F"/>
    <w:pPr>
      <w:keepNext/>
      <w:keepLines/>
      <w:jc w:val="center"/>
    </w:pPr>
    <w:rPr>
      <w:rFonts w:ascii="Times New Roman" w:hAnsi="Times New Roman"/>
      <w:sz w:val="22"/>
    </w:rPr>
  </w:style>
  <w:style w:styleId="Datum" w:type="paragraph">
    <w:name w:val="Date"/>
    <w:next w:val="Textkrper"/>
    <w:qFormat/>
    <w:rsid w:val="00A42C8F"/>
    <w:pPr>
      <w:keepNext/>
      <w:keepLines/>
      <w:jc w:val="center"/>
    </w:pPr>
    <w:rPr>
      <w:rFonts w:ascii="Times New Roman" w:hAnsi="Times New Roman"/>
      <w:sz w:val="22"/>
    </w:r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rsid w:val="00330554"/>
    <w:pPr>
      <w:spacing w:after="0"/>
      <w:ind w:hanging="284" w:left="284"/>
    </w:pPr>
  </w:style>
  <w:style w:styleId="Blocktext" w:type="paragraph">
    <w:name w:val="Block Text"/>
    <w:basedOn w:val="Textkrper"/>
    <w:next w:val="Textkrper"/>
    <w:uiPriority w:val="9"/>
    <w:unhideWhenUsed/>
    <w:qFormat/>
    <w:rsid w:val="00A0132F"/>
    <w:pPr>
      <w:spacing w:after="100" w:before="100"/>
    </w:pPr>
    <w:rPr>
      <w:rFonts w:cstheme="majorBidi" w:eastAsiaTheme="majorEastAsia"/>
      <w:bCs/>
      <w:szCs w:val="20"/>
    </w:rPr>
  </w:style>
  <w:style w:styleId="Funotentext" w:type="paragraph">
    <w:name w:val="footnote text"/>
    <w:basedOn w:val="Standard"/>
    <w:uiPriority w:val="9"/>
    <w:unhideWhenUsed/>
    <w:qFormat/>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2D4D3D"/>
    <w:pPr>
      <w:keepNext/>
    </w:pPr>
    <w:rPr>
      <w:i w:val="0"/>
    </w:rPr>
  </w:style>
  <w:style w:customStyle="1" w:styleId="ImageCaption" w:type="paragraph">
    <w:name w:val="Image Caption"/>
    <w:basedOn w:val="Beschriftung"/>
    <w:rsid w:val="002D4D3D"/>
    <w:rPr>
      <w:i w:val="0"/>
    </w:rPr>
  </w:style>
  <w:style w:customStyle="1" w:styleId="Figure" w:type="paragraph">
    <w:name w:val="Figure"/>
    <w:basedOn w:val="Standard"/>
  </w:style>
  <w:style w:customStyle="1" w:styleId="FigurewithCaption" w:type="paragraph">
    <w:name w:val="Figure with Caption"/>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extkrperZchn" w:type="character">
    <w:name w:val="Textkörper Zchn"/>
    <w:basedOn w:val="Absatz-Standardschriftart"/>
    <w:link w:val="Textkrper"/>
    <w:rsid w:val="001D3EE6"/>
    <w:rPr>
      <w:rFonts w:ascii="Times New Roman" w:hAnsi="Times New Roman"/>
      <w:sz w:val="22"/>
    </w:rPr>
  </w:style>
  <w:style w:styleId="Kopfzeile" w:type="paragraph">
    <w:name w:val="header"/>
    <w:basedOn w:val="Standard"/>
    <w:link w:val="KopfzeileZchn"/>
    <w:unhideWhenUsed/>
    <w:rsid w:val="00D20FC4"/>
    <w:pPr>
      <w:tabs>
        <w:tab w:pos="4536" w:val="center"/>
        <w:tab w:pos="9072" w:val="right"/>
      </w:tabs>
      <w:spacing w:after="0"/>
    </w:pPr>
  </w:style>
  <w:style w:customStyle="1" w:styleId="KopfzeileZchn" w:type="character">
    <w:name w:val="Kopfzeile Zchn"/>
    <w:basedOn w:val="Absatz-Standardschriftart"/>
    <w:link w:val="Kopfzeile"/>
    <w:rsid w:val="00D20FC4"/>
    <w:rPr>
      <w:rFonts w:ascii="Times New Roman" w:hAnsi="Times New Roman"/>
      <w:sz w:val="22"/>
    </w:rPr>
  </w:style>
  <w:style w:styleId="Fuzeile" w:type="paragraph">
    <w:name w:val="footer"/>
    <w:basedOn w:val="Standard"/>
    <w:link w:val="FuzeileZchn"/>
    <w:uiPriority w:val="99"/>
    <w:unhideWhenUsed/>
    <w:rsid w:val="00D20FC4"/>
    <w:pPr>
      <w:tabs>
        <w:tab w:pos="4536" w:val="center"/>
        <w:tab w:pos="9072" w:val="right"/>
      </w:tabs>
      <w:spacing w:after="0"/>
    </w:pPr>
  </w:style>
  <w:style w:customStyle="1" w:styleId="FuzeileZchn" w:type="character">
    <w:name w:val="Fußzeile Zchn"/>
    <w:basedOn w:val="Absatz-Standardschriftart"/>
    <w:link w:val="Fuzeile"/>
    <w:uiPriority w:val="99"/>
    <w:rsid w:val="00D20FC4"/>
    <w:rPr>
      <w:rFonts w:ascii="Times New Roman" w:hAnsi="Times New Roman"/>
      <w:sz w:val="22"/>
    </w:rPr>
  </w:style>
  <w:style w:styleId="Zeilennummer" w:type="character">
    <w:name w:val="line number"/>
    <w:basedOn w:val="Absatz-Standardschriftart"/>
    <w:semiHidden/>
    <w:unhideWhenUsed/>
    <w:rsid w:val="00AC20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Id="rId50" Type="http://schemas.openxmlformats.org/officeDocument/2006/relationships/hyperlink" Target="http://dx.doi.org/10.32942/X2959J" TargetMode="External"/>
<Relationship Id="rId157" Type="http://schemas.openxmlformats.org/officeDocument/2006/relationships/hyperlink" Target="https://CRAN.R-project.org/package=vegan" TargetMode="External"/>
<Relationship Id="rId77" Type="http://schemas.openxmlformats.org/officeDocument/2006/relationships/hyperlink" Target="https://cdc.dwd.de/portal/" TargetMode="External"/>
<Relationship Id="rId181" Type="http://schemas.openxmlformats.org/officeDocument/2006/relationships/hyperlink" Target="https://digitallibrary.un.org/record/3794317/files/A_RES_73_284-EN.pdf" TargetMode="External"/>
<Relationship Id="rId42" Type="http://schemas.openxmlformats.org/officeDocument/2006/relationships/hyperlink" Target="https://doi.org/10.1002/eap.2110" TargetMode="External"/>
<Relationship Id="rId175" Type="http://schemas.openxmlformats.org/officeDocument/2006/relationships/hyperlink" Target="https://doi.org/10.1002/eap.2463" TargetMode="External"/>
<Relationship Id="rId134" Type="http://schemas.openxmlformats.org/officeDocument/2006/relationships/hyperlink" Target="https://doi.org/10.1002/ece3.4984" TargetMode="External"/>
<Relationship Id="rId189" Type="http://schemas.openxmlformats.org/officeDocument/2006/relationships/hyperlink" Target="https://doi.org/10.1002/ecy.2971" TargetMode="External"/>
<Relationship Id="rId46" Type="http://schemas.openxmlformats.org/officeDocument/2006/relationships/hyperlink" Target="https://doi.org/10.1002/rra.3643" TargetMode="External"/>
<Relationship Id="rId64" Type="http://schemas.openxmlformats.org/officeDocument/2006/relationships/hyperlink" Target="https://doi.org/10.1007/978-3-7091-8110-2" TargetMode="External"/>
<Relationship Id="rId140" Type="http://schemas.openxmlformats.org/officeDocument/2006/relationships/hyperlink" Target="https://doi.org/10.1007/BF00055300" TargetMode="External"/>
<Relationship Id="rId40" Type="http://schemas.openxmlformats.org/officeDocument/2006/relationships/hyperlink" Target="https://doi.org/10.1007/s00442-004-1541-3" TargetMode="External"/>
<Relationship Id="rId62" Type="http://schemas.openxmlformats.org/officeDocument/2006/relationships/hyperlink" Target="https://doi.org/10.1007/s10021-015-9869-6" TargetMode="External"/>
<Relationship Id="rId52" Type="http://schemas.openxmlformats.org/officeDocument/2006/relationships/hyperlink" Target="https://doi.org/10.1007/s11252-022-01230-x" TargetMode="External"/>
<Relationship Id="rId48" Type="http://schemas.openxmlformats.org/officeDocument/2006/relationships/hyperlink" Target="https://doi.org/10.1007/s13157-016-0734-y" TargetMode="External"/>
<Relationship Id="rId138" Type="http://schemas.openxmlformats.org/officeDocument/2006/relationships/hyperlink" Target="https://doi.org/10.1016/S0925-8574(96)00023-7" TargetMode="External"/>
<Relationship Id="rId84" Type="http://schemas.openxmlformats.org/officeDocument/2006/relationships/hyperlink" Target="https://doi.org/10.1016/j.agee.2013.12.015" TargetMode="External"/>
<Relationship Id="rId125" Type="http://schemas.openxmlformats.org/officeDocument/2006/relationships/hyperlink" Target="https://doi.org/10.1016/j.baae.2009.12.004" TargetMode="External"/>
<Relationship Id="rId173" Type="http://schemas.openxmlformats.org/officeDocument/2006/relationships/hyperlink" Target="https://doi.org/10.1016/j.baae.2022.12.001" TargetMode="External"/>
<Relationship Id="rId185" Type="http://schemas.openxmlformats.org/officeDocument/2006/relationships/hyperlink" Target="https://doi.org/10.1016/j.biocon.2003.10.020" TargetMode="External"/>
<Relationship Id="rId179" Type="http://schemas.openxmlformats.org/officeDocument/2006/relationships/hyperlink" Target="https://doi.org/10.1016/j.biocon.2016.12.024" TargetMode="External"/>
<Relationship Id="rId112" Type="http://schemas.openxmlformats.org/officeDocument/2006/relationships/hyperlink" Target="https://doi.org/10.1016/j.jnc.2010.01.003" TargetMode="External"/>
<Relationship Id="rId171" Type="http://schemas.openxmlformats.org/officeDocument/2006/relationships/hyperlink" Target="https://doi.org/10.1016/j.tree.2003.10.005" TargetMode="External"/>
<Relationship Id="rId98" Type="http://schemas.openxmlformats.org/officeDocument/2006/relationships/hyperlink" Target="https://doi.org/10.1016/j.tree.2008.07.013" TargetMode="External"/>
<Relationship Id="rId116" Type="http://schemas.openxmlformats.org/officeDocument/2006/relationships/hyperlink" Target="https://doi.org/10.1016/j.tree.2022.05.002" TargetMode="External"/>
<Relationship Id="rId146" Type="http://schemas.openxmlformats.org/officeDocument/2006/relationships/hyperlink" Target="https://doi.org/10.1038/ncomms14163" TargetMode="External"/>
<Relationship Id="rId128" Type="http://schemas.openxmlformats.org/officeDocument/2006/relationships/hyperlink" Target="https://doi.org/10.1038/s41562-021-01177-7" TargetMode="External"/>
<Relationship Id="rId108" Type="http://schemas.openxmlformats.org/officeDocument/2006/relationships/hyperlink" Target="https://doi.org/10.1038/s41598-020-62123-7" TargetMode="External"/>
<Relationship Id="rId110" Type="http://schemas.openxmlformats.org/officeDocument/2006/relationships/hyperlink" Target="https://doi.org/10.1038/s41598-020-68872-9" TargetMode="External"/>
<Relationship Id="rId44" Type="http://schemas.openxmlformats.org/officeDocument/2006/relationships/hyperlink" Target="https://doi.org/10.1038/s43017-021-00207-2" TargetMode="External"/>
<Relationship Id="rId154" Type="http://schemas.openxmlformats.org/officeDocument/2006/relationships/hyperlink" Target="https://doi.org/10.1073/pnas.1922266117" TargetMode="External"/>
<Relationship Id="rId159" Type="http://schemas.openxmlformats.org/officeDocument/2006/relationships/hyperlink" Target="https://doi.org/10.1073/pnas.2201943119" TargetMode="External"/>
<Relationship Id="rId104" Type="http://schemas.openxmlformats.org/officeDocument/2006/relationships/hyperlink" Target="https://doi.org/10.1080/00031305.2018.1549100" TargetMode="External"/>
<Relationship Id="rId121" Type="http://schemas.openxmlformats.org/officeDocument/2006/relationships/hyperlink" Target="https://doi.org/10.1098/rspb.2017.2577" TargetMode="External"/>
<Relationship Id="rId106" Type="http://schemas.openxmlformats.org/officeDocument/2006/relationships/hyperlink" Target="https://doi.org/10.1111/1365-2664.12135" TargetMode="External"/>
<Relationship Id="rId148" Type="http://schemas.openxmlformats.org/officeDocument/2006/relationships/hyperlink" Target="https://doi.org/10.1111/1365-2664.12482" TargetMode="External"/>
<Relationship Id="rId92" Type="http://schemas.openxmlformats.org/officeDocument/2006/relationships/hyperlink" Target="https://doi.org/10.1111/1365-2664.12623" TargetMode="External"/>
<Relationship Id="rId167" Type="http://schemas.openxmlformats.org/officeDocument/2006/relationships/hyperlink" Target="https://doi.org/10.1111/1365-2664.12861" TargetMode="External"/>
<Relationship Id="rId66" Type="http://schemas.openxmlformats.org/officeDocument/2006/relationships/hyperlink" Target="https://doi.org/10.1111/1365-2664.12938" TargetMode="External"/>
<Relationship Id="rId183" Type="http://schemas.openxmlformats.org/officeDocument/2006/relationships/hyperlink" Target="https://doi.org/10.1111/1365-2664.12975" TargetMode="External"/>
<Relationship Id="rId163" Type="http://schemas.openxmlformats.org/officeDocument/2006/relationships/hyperlink" Target="https://doi.org/10.1111/1365-2664.13254" TargetMode="External"/>
<Relationship Id="rId94" Type="http://schemas.openxmlformats.org/officeDocument/2006/relationships/hyperlink" Target="https://doi.org/10.1111/1365-2664.13883" TargetMode="External"/>
<Relationship Id="rId150" Type="http://schemas.openxmlformats.org/officeDocument/2006/relationships/hyperlink" Target="https://doi.org/10.1111/avsc.12257" TargetMode="External"/>
<Relationship Id="rId75" Type="http://schemas.openxmlformats.org/officeDocument/2006/relationships/hyperlink" Target="https://doi.org/10.1111/avsc.12519" TargetMode="External"/>
<Relationship Id="rId123" Type="http://schemas.openxmlformats.org/officeDocument/2006/relationships/hyperlink" Target="https://doi.org/10.1111/avsc.12652" TargetMode="External"/>
<Relationship Id="rId114" Type="http://schemas.openxmlformats.org/officeDocument/2006/relationships/hyperlink" Target="https://doi.org/10.1111/ddi.12285" TargetMode="External"/>
<Relationship Id="rId132" Type="http://schemas.openxmlformats.org/officeDocument/2006/relationships/hyperlink" Target="https://doi.org/10.1111/ele.12288" TargetMode="External"/>
<Relationship Id="rId165" Type="http://schemas.openxmlformats.org/officeDocument/2006/relationships/hyperlink" Target="https://doi.org/10.1111/geb.13346" TargetMode="External"/>
<Relationship Id="rId88" Type="http://schemas.openxmlformats.org/officeDocument/2006/relationships/hyperlink" Target="https://doi.org/10.1111/j.1365-2745.2009.01605.x" TargetMode="External"/>
<Relationship Id="rId152" Type="http://schemas.openxmlformats.org/officeDocument/2006/relationships/hyperlink" Target="https://doi.org/10.1111/j.1461-0248.2009.01373.x" TargetMode="External"/>
<Relationship Id="rId144" Type="http://schemas.openxmlformats.org/officeDocument/2006/relationships/hyperlink" Target="https://doi.org/10.1111/j.1654-109x.2012.01183.x" TargetMode="External"/>
<Relationship Id="rId136" Type="http://schemas.openxmlformats.org/officeDocument/2006/relationships/hyperlink" Target="https://doi.org/10.1111/oik.05985" TargetMode="External"/>
<Relationship Id="rId130" Type="http://schemas.openxmlformats.org/officeDocument/2006/relationships/hyperlink" Target="https://doi.org/10.1111/oik.08638" TargetMode="External"/>
<Relationship Id="rId82" Type="http://schemas.openxmlformats.org/officeDocument/2006/relationships/hyperlink" Target="https://doi.org/10.1111/rec.12675" TargetMode="External"/>
<Relationship Id="rId187" Type="http://schemas.openxmlformats.org/officeDocument/2006/relationships/hyperlink" Target="https://doi.org/10.1111/rec.13132" TargetMode="External"/>
<Relationship Id="rId90" Type="http://schemas.openxmlformats.org/officeDocument/2006/relationships/hyperlink" Target="https://doi.org/10.1111/rec.13272" TargetMode="External"/>
<Relationship Id="rId177" Type="http://schemas.openxmlformats.org/officeDocument/2006/relationships/hyperlink" Target="https://doi.org/10.1111/rec.13378" TargetMode="External"/>
<Relationship Id="rId73" Type="http://schemas.openxmlformats.org/officeDocument/2006/relationships/hyperlink" Target="https://doi.org/10.1111/rec.13620" TargetMode="External"/>
<Relationship Id="rId142" Type="http://schemas.openxmlformats.org/officeDocument/2006/relationships/hyperlink" Target="https://doi.org/10.1111/rec.13788" TargetMode="External"/>
<Relationship Id="rId102" Type="http://schemas.openxmlformats.org/officeDocument/2006/relationships/hyperlink" Target="https://doi.org/10.1111/rssa.12378" TargetMode="External"/>
<Relationship Id="rId68" Type="http://schemas.openxmlformats.org/officeDocument/2006/relationships/hyperlink" Target="https://doi.org/10.1126/science.abo4605" TargetMode="External"/>
<Relationship Id="rId169" Type="http://schemas.openxmlformats.org/officeDocument/2006/relationships/hyperlink" Target="https://doi.org/10.1146/annurev-ecolsys-102710-145115" TargetMode="External"/>
<Relationship Id="rId96" Type="http://schemas.openxmlformats.org/officeDocument/2006/relationships/hyperlink" Target="https://doi.org/10.1146/annurev-ecolsys-110411-160340" TargetMode="External"/>
<Relationship Id="rId71" Type="http://schemas.openxmlformats.org/officeDocument/2006/relationships/hyperlink" Target="https://doi.org/10.18637/jss.v080.i01" TargetMode="External"/>
<Relationship Id="rId119" Type="http://schemas.openxmlformats.org/officeDocument/2006/relationships/hyperlink" Target="https://doi.org/10.2779/091372" TargetMode="External"/>
<Relationship Id="rId54" Type="http://schemas.openxmlformats.org/officeDocument/2006/relationships/hyperlink" Target="https://geodaten.bayern.de/opengeodata/OpenDataDetail.html?pn=dop40" TargetMode="External"/>
<Relationship Id="rId37" Type="http://schemas.openxmlformats.org/officeDocument/2006/relationships/hyperlink" Target="https://github.com/markus1bauer/2023_danube_dike_experiment/tree/main/markdown" TargetMode="External"/>
<Relationship Id="rId100" Type="http://schemas.openxmlformats.org/officeDocument/2006/relationships/hyperlink" Target="https://mc-stan.org/bayesplot/" TargetMode="External"/>
<Relationship Id="rId161" Type="http://schemas.openxmlformats.org/officeDocument/2006/relationships/hyperlink" Target="https://www.R-project.org/" TargetMode="External"/>
<Relationship Id="rId80" Type="http://schemas.openxmlformats.org/officeDocument/2006/relationships/hyperlink" Target="https://www.cbd.int/sp/targets/" TargetMode="External"/>
<Relationship Id="rId86" Type="http://schemas.openxmlformats.org/officeDocument/2006/relationships/hyperlink" Target="https://www.dwd.de" TargetMode="External"/>
<Relationship Id="rId58" Type="http://schemas.openxmlformats.org/officeDocument/2006/relationships/hyperlink" Target="https://www.gkd.bayern.de/en/rivers/discharge/passau/pfelling-10078000/total-period" TargetMode="External"/>
<Relationship Id="rId60" Type="http://schemas.openxmlformats.org/officeDocument/2006/relationships/hyperlink" Target="https://www.gkd.bayern.de/en/rivers/waterlevel/passau/deggendorf-10081004/total-period" TargetMode="External"/>
<Relationship Id="rId56" Type="http://schemas.openxmlformats.org/officeDocument/2006/relationships/hyperlink" Target="https://www.lfl.bayern.de/mam/cms07/publikationen/daten/informationen/2022_08_iab_info_gelbes_heft.pdf" TargetMode="External"/>
<Relationship Id="rId20" Type="http://schemas.openxmlformats.org/officeDocument/2006/relationships/hyperlink" Target="mailto:markus1.bauer@tum.de" TargetMode="External"/>
<Relationship Id="rId190" Type="http://schemas.openxmlformats.org/officeDocument/2006/relationships/image" Target="media/b4c1908ff26c5967528d74b83c13fb3cec263080.png"/>
<Relationship Id="rId191" Type="http://schemas.openxmlformats.org/officeDocument/2006/relationships/image" Target="media/dc3cffe9d1096a12e7cc770f7bfc51a214af7180.tiff"/>
<Relationship Id="rId192" Type="http://schemas.openxmlformats.org/officeDocument/2006/relationships/image" Target="media/6536c1b5a2f8b997350d122609979a191b61b13c.tiff"/>
<Relationship Id="rId193" Type="http://schemas.openxmlformats.org/officeDocument/2006/relationships/image" Target="media/759ec445fc9826b57167914691b6fa5597d80870.tiff"/>
<Relationship Id="rId194" Type="http://schemas.openxmlformats.org/officeDocument/2006/relationships/image" Target="media/55d84dd5c728530ebcde21f2378c194d032404e6.tiff"/>
<Relationship Id="rId195" Type="http://schemas.openxmlformats.org/officeDocument/2006/relationships/image" Target="media/c044db30cbec4f8557bd17f2ea3de1269dd6ef09.tiff"/>
</Relationships>

</file>

<file path=word/_rels/footnotes.xml.rels><?xml version="1.0" encoding="UTF-8" standalone="yes"?>

<Relationships  xmlns="http://schemas.openxmlformats.org/package/2006/relationships">
<Relationship Id="rId50" Type="http://schemas.openxmlformats.org/officeDocument/2006/relationships/hyperlink" Target="http://dx.doi.org/10.32942/X2959J" TargetMode="External"/>
<Relationship Id="rId157" Type="http://schemas.openxmlformats.org/officeDocument/2006/relationships/hyperlink" Target="https://CRAN.R-project.org/package=vegan" TargetMode="External"/>
<Relationship Id="rId77" Type="http://schemas.openxmlformats.org/officeDocument/2006/relationships/hyperlink" Target="https://cdc.dwd.de/portal/" TargetMode="External"/>
<Relationship Id="rId181" Type="http://schemas.openxmlformats.org/officeDocument/2006/relationships/hyperlink" Target="https://digitallibrary.un.org/record/3794317/files/A_RES_73_284-EN.pdf" TargetMode="External"/>
<Relationship Id="rId42" Type="http://schemas.openxmlformats.org/officeDocument/2006/relationships/hyperlink" Target="https://doi.org/10.1002/eap.2110" TargetMode="External"/>
<Relationship Id="rId175" Type="http://schemas.openxmlformats.org/officeDocument/2006/relationships/hyperlink" Target="https://doi.org/10.1002/eap.2463" TargetMode="External"/>
<Relationship Id="rId134" Type="http://schemas.openxmlformats.org/officeDocument/2006/relationships/hyperlink" Target="https://doi.org/10.1002/ece3.4984" TargetMode="External"/>
<Relationship Id="rId189" Type="http://schemas.openxmlformats.org/officeDocument/2006/relationships/hyperlink" Target="https://doi.org/10.1002/ecy.2971" TargetMode="External"/>
<Relationship Id="rId46" Type="http://schemas.openxmlformats.org/officeDocument/2006/relationships/hyperlink" Target="https://doi.org/10.1002/rra.3643" TargetMode="External"/>
<Relationship Id="rId64" Type="http://schemas.openxmlformats.org/officeDocument/2006/relationships/hyperlink" Target="https://doi.org/10.1007/978-3-7091-8110-2" TargetMode="External"/>
<Relationship Id="rId140" Type="http://schemas.openxmlformats.org/officeDocument/2006/relationships/hyperlink" Target="https://doi.org/10.1007/BF00055300" TargetMode="External"/>
<Relationship Id="rId40" Type="http://schemas.openxmlformats.org/officeDocument/2006/relationships/hyperlink" Target="https://doi.org/10.1007/s00442-004-1541-3" TargetMode="External"/>
<Relationship Id="rId62" Type="http://schemas.openxmlformats.org/officeDocument/2006/relationships/hyperlink" Target="https://doi.org/10.1007/s10021-015-9869-6" TargetMode="External"/>
<Relationship Id="rId52" Type="http://schemas.openxmlformats.org/officeDocument/2006/relationships/hyperlink" Target="https://doi.org/10.1007/s11252-022-01230-x" TargetMode="External"/>
<Relationship Id="rId48" Type="http://schemas.openxmlformats.org/officeDocument/2006/relationships/hyperlink" Target="https://doi.org/10.1007/s13157-016-0734-y" TargetMode="External"/>
<Relationship Id="rId138" Type="http://schemas.openxmlformats.org/officeDocument/2006/relationships/hyperlink" Target="https://doi.org/10.1016/S0925-8574(96)00023-7" TargetMode="External"/>
<Relationship Id="rId84" Type="http://schemas.openxmlformats.org/officeDocument/2006/relationships/hyperlink" Target="https://doi.org/10.1016/j.agee.2013.12.015" TargetMode="External"/>
<Relationship Id="rId125" Type="http://schemas.openxmlformats.org/officeDocument/2006/relationships/hyperlink" Target="https://doi.org/10.1016/j.baae.2009.12.004" TargetMode="External"/>
<Relationship Id="rId173" Type="http://schemas.openxmlformats.org/officeDocument/2006/relationships/hyperlink" Target="https://doi.org/10.1016/j.baae.2022.12.001" TargetMode="External"/>
<Relationship Id="rId185" Type="http://schemas.openxmlformats.org/officeDocument/2006/relationships/hyperlink" Target="https://doi.org/10.1016/j.biocon.2003.10.020" TargetMode="External"/>
<Relationship Id="rId179" Type="http://schemas.openxmlformats.org/officeDocument/2006/relationships/hyperlink" Target="https://doi.org/10.1016/j.biocon.2016.12.024" TargetMode="External"/>
<Relationship Id="rId112" Type="http://schemas.openxmlformats.org/officeDocument/2006/relationships/hyperlink" Target="https://doi.org/10.1016/j.jnc.2010.01.003" TargetMode="External"/>
<Relationship Id="rId171" Type="http://schemas.openxmlformats.org/officeDocument/2006/relationships/hyperlink" Target="https://doi.org/10.1016/j.tree.2003.10.005" TargetMode="External"/>
<Relationship Id="rId98" Type="http://schemas.openxmlformats.org/officeDocument/2006/relationships/hyperlink" Target="https://doi.org/10.1016/j.tree.2008.07.013" TargetMode="External"/>
<Relationship Id="rId116" Type="http://schemas.openxmlformats.org/officeDocument/2006/relationships/hyperlink" Target="https://doi.org/10.1016/j.tree.2022.05.002" TargetMode="External"/>
<Relationship Id="rId146" Type="http://schemas.openxmlformats.org/officeDocument/2006/relationships/hyperlink" Target="https://doi.org/10.1038/ncomms14163" TargetMode="External"/>
<Relationship Id="rId128" Type="http://schemas.openxmlformats.org/officeDocument/2006/relationships/hyperlink" Target="https://doi.org/10.1038/s41562-021-01177-7" TargetMode="External"/>
<Relationship Id="rId108" Type="http://schemas.openxmlformats.org/officeDocument/2006/relationships/hyperlink" Target="https://doi.org/10.1038/s41598-020-62123-7" TargetMode="External"/>
<Relationship Id="rId110" Type="http://schemas.openxmlformats.org/officeDocument/2006/relationships/hyperlink" Target="https://doi.org/10.1038/s41598-020-68872-9" TargetMode="External"/>
<Relationship Id="rId44" Type="http://schemas.openxmlformats.org/officeDocument/2006/relationships/hyperlink" Target="https://doi.org/10.1038/s43017-021-00207-2" TargetMode="External"/>
<Relationship Id="rId154" Type="http://schemas.openxmlformats.org/officeDocument/2006/relationships/hyperlink" Target="https://doi.org/10.1073/pnas.1922266117" TargetMode="External"/>
<Relationship Id="rId159" Type="http://schemas.openxmlformats.org/officeDocument/2006/relationships/hyperlink" Target="https://doi.org/10.1073/pnas.2201943119" TargetMode="External"/>
<Relationship Id="rId104" Type="http://schemas.openxmlformats.org/officeDocument/2006/relationships/hyperlink" Target="https://doi.org/10.1080/00031305.2018.1549100" TargetMode="External"/>
<Relationship Id="rId121" Type="http://schemas.openxmlformats.org/officeDocument/2006/relationships/hyperlink" Target="https://doi.org/10.1098/rspb.2017.2577" TargetMode="External"/>
<Relationship Id="rId106" Type="http://schemas.openxmlformats.org/officeDocument/2006/relationships/hyperlink" Target="https://doi.org/10.1111/1365-2664.12135" TargetMode="External"/>
<Relationship Id="rId148" Type="http://schemas.openxmlformats.org/officeDocument/2006/relationships/hyperlink" Target="https://doi.org/10.1111/1365-2664.12482" TargetMode="External"/>
<Relationship Id="rId92" Type="http://schemas.openxmlformats.org/officeDocument/2006/relationships/hyperlink" Target="https://doi.org/10.1111/1365-2664.12623" TargetMode="External"/>
<Relationship Id="rId167" Type="http://schemas.openxmlformats.org/officeDocument/2006/relationships/hyperlink" Target="https://doi.org/10.1111/1365-2664.12861" TargetMode="External"/>
<Relationship Id="rId66" Type="http://schemas.openxmlformats.org/officeDocument/2006/relationships/hyperlink" Target="https://doi.org/10.1111/1365-2664.12938" TargetMode="External"/>
<Relationship Id="rId183" Type="http://schemas.openxmlformats.org/officeDocument/2006/relationships/hyperlink" Target="https://doi.org/10.1111/1365-2664.12975" TargetMode="External"/>
<Relationship Id="rId163" Type="http://schemas.openxmlformats.org/officeDocument/2006/relationships/hyperlink" Target="https://doi.org/10.1111/1365-2664.13254" TargetMode="External"/>
<Relationship Id="rId94" Type="http://schemas.openxmlformats.org/officeDocument/2006/relationships/hyperlink" Target="https://doi.org/10.1111/1365-2664.13883" TargetMode="External"/>
<Relationship Id="rId150" Type="http://schemas.openxmlformats.org/officeDocument/2006/relationships/hyperlink" Target="https://doi.org/10.1111/avsc.12257" TargetMode="External"/>
<Relationship Id="rId75" Type="http://schemas.openxmlformats.org/officeDocument/2006/relationships/hyperlink" Target="https://doi.org/10.1111/avsc.12519" TargetMode="External"/>
<Relationship Id="rId123" Type="http://schemas.openxmlformats.org/officeDocument/2006/relationships/hyperlink" Target="https://doi.org/10.1111/avsc.12652" TargetMode="External"/>
<Relationship Id="rId114" Type="http://schemas.openxmlformats.org/officeDocument/2006/relationships/hyperlink" Target="https://doi.org/10.1111/ddi.12285" TargetMode="External"/>
<Relationship Id="rId132" Type="http://schemas.openxmlformats.org/officeDocument/2006/relationships/hyperlink" Target="https://doi.org/10.1111/ele.12288" TargetMode="External"/>
<Relationship Id="rId165" Type="http://schemas.openxmlformats.org/officeDocument/2006/relationships/hyperlink" Target="https://doi.org/10.1111/geb.13346" TargetMode="External"/>
<Relationship Id="rId88" Type="http://schemas.openxmlformats.org/officeDocument/2006/relationships/hyperlink" Target="https://doi.org/10.1111/j.1365-2745.2009.01605.x" TargetMode="External"/>
<Relationship Id="rId152" Type="http://schemas.openxmlformats.org/officeDocument/2006/relationships/hyperlink" Target="https://doi.org/10.1111/j.1461-0248.2009.01373.x" TargetMode="External"/>
<Relationship Id="rId144" Type="http://schemas.openxmlformats.org/officeDocument/2006/relationships/hyperlink" Target="https://doi.org/10.1111/j.1654-109x.2012.01183.x" TargetMode="External"/>
<Relationship Id="rId136" Type="http://schemas.openxmlformats.org/officeDocument/2006/relationships/hyperlink" Target="https://doi.org/10.1111/oik.05985" TargetMode="External"/>
<Relationship Id="rId130" Type="http://schemas.openxmlformats.org/officeDocument/2006/relationships/hyperlink" Target="https://doi.org/10.1111/oik.08638" TargetMode="External"/>
<Relationship Id="rId82" Type="http://schemas.openxmlformats.org/officeDocument/2006/relationships/hyperlink" Target="https://doi.org/10.1111/rec.12675" TargetMode="External"/>
<Relationship Id="rId187" Type="http://schemas.openxmlformats.org/officeDocument/2006/relationships/hyperlink" Target="https://doi.org/10.1111/rec.13132" TargetMode="External"/>
<Relationship Id="rId90" Type="http://schemas.openxmlformats.org/officeDocument/2006/relationships/hyperlink" Target="https://doi.org/10.1111/rec.13272" TargetMode="External"/>
<Relationship Id="rId177" Type="http://schemas.openxmlformats.org/officeDocument/2006/relationships/hyperlink" Target="https://doi.org/10.1111/rec.13378" TargetMode="External"/>
<Relationship Id="rId73" Type="http://schemas.openxmlformats.org/officeDocument/2006/relationships/hyperlink" Target="https://doi.org/10.1111/rec.13620" TargetMode="External"/>
<Relationship Id="rId142" Type="http://schemas.openxmlformats.org/officeDocument/2006/relationships/hyperlink" Target="https://doi.org/10.1111/rec.13788" TargetMode="External"/>
<Relationship Id="rId102" Type="http://schemas.openxmlformats.org/officeDocument/2006/relationships/hyperlink" Target="https://doi.org/10.1111/rssa.12378" TargetMode="External"/>
<Relationship Id="rId68" Type="http://schemas.openxmlformats.org/officeDocument/2006/relationships/hyperlink" Target="https://doi.org/10.1126/science.abo4605" TargetMode="External"/>
<Relationship Id="rId169" Type="http://schemas.openxmlformats.org/officeDocument/2006/relationships/hyperlink" Target="https://doi.org/10.1146/annurev-ecolsys-102710-145115" TargetMode="External"/>
<Relationship Id="rId96" Type="http://schemas.openxmlformats.org/officeDocument/2006/relationships/hyperlink" Target="https://doi.org/10.1146/annurev-ecolsys-110411-160340" TargetMode="External"/>
<Relationship Id="rId71" Type="http://schemas.openxmlformats.org/officeDocument/2006/relationships/hyperlink" Target="https://doi.org/10.18637/jss.v080.i01" TargetMode="External"/>
<Relationship Id="rId119" Type="http://schemas.openxmlformats.org/officeDocument/2006/relationships/hyperlink" Target="https://doi.org/10.2779/091372" TargetMode="External"/>
<Relationship Id="rId54" Type="http://schemas.openxmlformats.org/officeDocument/2006/relationships/hyperlink" Target="https://geodaten.bayern.de/opengeodata/OpenDataDetail.html?pn=dop40" TargetMode="External"/>
<Relationship Id="rId37" Type="http://schemas.openxmlformats.org/officeDocument/2006/relationships/hyperlink" Target="https://github.com/markus1bauer/2023_danube_dike_experiment/tree/main/markdown" TargetMode="External"/>
<Relationship Id="rId100" Type="http://schemas.openxmlformats.org/officeDocument/2006/relationships/hyperlink" Target="https://mc-stan.org/bayesplot/" TargetMode="External"/>
<Relationship Id="rId161" Type="http://schemas.openxmlformats.org/officeDocument/2006/relationships/hyperlink" Target="https://www.R-project.org/" TargetMode="External"/>
<Relationship Id="rId80" Type="http://schemas.openxmlformats.org/officeDocument/2006/relationships/hyperlink" Target="https://www.cbd.int/sp/targets/" TargetMode="External"/>
<Relationship Id="rId86" Type="http://schemas.openxmlformats.org/officeDocument/2006/relationships/hyperlink" Target="https://www.dwd.de" TargetMode="External"/>
<Relationship Id="rId58" Type="http://schemas.openxmlformats.org/officeDocument/2006/relationships/hyperlink" Target="https://www.gkd.bayern.de/en/rivers/discharge/passau/pfelling-10078000/total-period" TargetMode="External"/>
<Relationship Id="rId60" Type="http://schemas.openxmlformats.org/officeDocument/2006/relationships/hyperlink" Target="https://www.gkd.bayern.de/en/rivers/waterlevel/passau/deggendorf-10081004/total-period" TargetMode="External"/>
<Relationship Id="rId56" Type="http://schemas.openxmlformats.org/officeDocument/2006/relationships/hyperlink" Target="https://www.lfl.bayern.de/mam/cms07/publikationen/daten/informationen/2022_08_iab_info_gelbes_heft.pdf" TargetMode="External"/>
<Relationship Id="rId20" Type="http://schemas.openxmlformats.org/officeDocument/2006/relationships/hyperlink" Target="mailto:markus1.bauer@tu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390</Words>
  <Characters>2457</Characters>
  <Application>Microsoft Office Word</Application>
  <DocSecurity>0</DocSecurity>
  <Lines>20</Lines>
  <Paragraphs>5</Paragraphs>
  <ScaleCrop>false</ScaleCrop>
  <Company/>
  <LinksUpToDate>false</LinksUpToDate>
  <CharactersWithSpaces>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Fit by design: Developing substrate-specific seed mixtures for functional dike grasslands</dc:title>
  <dc:creator>Markus Bauer*, Jakob Huber, Johannes Kollmann</dc:creator>
  <cp:keywords/>
  <dcterms:created xsi:type="dcterms:W3CDTF">2023-02-28T16:39:53Z</dcterms:created>
  <dcterms:modified xsi:type="dcterms:W3CDTF">2023-02-28T17:39:55Z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template_references_j_appl_ecol.csl</vt:lpwstr>
  </property>
  <property fmtid="{D5CDD505-2E9C-101B-9397-08002B2CF9AE}" pid="4" name="output">
    <vt:lpwstr/>
  </property>
</Properties>
</file>